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Ransomware Payment Reporting Procedure - Template</w:t>
      </w:r>
    </w:p>
    <w:p>
      <w:pPr>
        <w:spacing w:after="120" w:line="300"/>
        <w:rPr>
          <w:i/>
          <w:iCs/>
          <w:color w:val="5B6770"/>
        </w:rPr>
      </w:pPr>
      <w:r>
        <w:rPr>
          <w:rFonts w:ascii="Calibri" w:cs="Calibri" w:eastAsia="Calibri" w:hAnsi="Calibri"/>
          <w:i/>
          <w:iCs/>
          <w:color w:val="5B6770"/>
          <w:sz w:val="22"/>
          <w:szCs w:val="22"/>
        </w:rPr>
        <w:t xml:space="preserve">How to report a ransomware or cyber extortion payment to the Australian Government within 72 hours, under Part 3 of the Cyber Security Act 2024. Replace the bracketed placeholders with your own details.</w:t>
      </w:r>
    </w:p>
    <w:p>
      <w:pPr>
        <w:spacing w:after="200" w:before="120" w:line="300"/>
      </w:pPr>
      <w:r>
        <w:rPr>
          <w:rFonts w:ascii="Calibri" w:cs="Calibri" w:eastAsia="Calibri" w:hAnsi="Calibri"/>
          <w:color w:val="1F2933"/>
          <w:sz w:val="22"/>
          <w:szCs w:val="22"/>
        </w:rPr>
        <w:t xml:space="preserve">This procedure sets out what [Organisation] does if it makes a ransomware or cyber extortion payment, or learns that someone has made one on its behalf. It covers the report the law requires within 72 hours. It does not decide whether a payment is made.</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Part 3 of the Cyber Security Act 2024 requires a reporting business entity that makes a ransomware payment, or is aware one was made on its behalf, to report it to the Government within 72 hours. This procedure makes sure [Organisation] can meet that deadline in the middle of an incident.</w:t>
      </w:r>
    </w:p>
    <w:p>
      <w:pPr>
        <w:spacing w:after="120" w:line="300"/>
      </w:pPr>
      <w:r>
        <w:rPr>
          <w:rFonts w:ascii="Calibri" w:cs="Calibri" w:eastAsia="Calibri" w:hAnsi="Calibri"/>
          <w:color w:val="1F2933"/>
          <w:sz w:val="22"/>
          <w:szCs w:val="22"/>
        </w:rPr>
        <w:t xml:space="preserve">It sits within [our cyber security incident response plan]. The incident response team runs the incident; this procedure covers the payment report.</w:t>
      </w:r>
    </w:p>
    <w:p>
      <w:pPr>
        <w:pStyle w:val="Heading2"/>
        <w:spacing w:after="100" w:before="280"/>
      </w:pPr>
      <w:r>
        <w:rPr>
          <w:rFonts w:ascii="Calibri" w:cs="Calibri" w:eastAsia="Calibri" w:hAnsi="Calibri"/>
          <w:color w:val="1F2933"/>
        </w:rPr>
        <w:t xml:space="preserve">2. Whether we must report</w:t>
      </w:r>
    </w:p>
    <w:p>
      <w:pPr>
        <w:spacing w:after="120" w:line="300"/>
      </w:pPr>
      <w:r>
        <w:rPr>
          <w:rFonts w:ascii="Calibri" w:cs="Calibri" w:eastAsia="Calibri" w:hAnsi="Calibri"/>
          <w:color w:val="1F2933"/>
          <w:sz w:val="22"/>
          <w:szCs w:val="22"/>
        </w:rPr>
        <w:t xml:space="preserve">A business is a reporting business entity if it carries on business in Australia and its annual turnover for the previous financial year exceeds $3 million, or if it is a responsible entity for a critical infrastructure asset covered by Part 2B of the Security of Critical Infrastructure Act 2018. A business that only traded for part of the previous financial year uses a pro rata threshold. Commonwealth and State bodies are not covered.</w:t>
      </w:r>
    </w:p>
    <w:p>
      <w:pPr>
        <w:spacing w:after="120" w:line="300"/>
      </w:pPr>
      <w:r>
        <w:rPr>
          <w:rFonts w:ascii="Calibri" w:cs="Calibri" w:eastAsia="Calibri" w:hAnsi="Calibri"/>
          <w:color w:val="1F2933"/>
          <w:sz w:val="22"/>
          <w:szCs w:val="22"/>
        </w:rPr>
        <w:t xml:space="preserve">[Organisation] [is / is not] a reporting business entity. [The Chief Financial Officer] confirms this each year once the financial year's turnover is known. The Government's reporting form describes the test as $3 million or more, so if our turnover is close to $3 million we treat ourselves as covered.</w:t>
      </w:r>
    </w:p>
    <w:p>
      <w:pPr>
        <w:pStyle w:val="Heading2"/>
        <w:spacing w:after="100" w:before="280"/>
      </w:pPr>
      <w:r>
        <w:rPr>
          <w:rFonts w:ascii="Calibri" w:cs="Calibri" w:eastAsia="Calibri" w:hAnsi="Calibri"/>
          <w:color w:val="1F2933"/>
        </w:rPr>
        <w:t xml:space="preserve">3. When the obligation applies</w:t>
      </w:r>
    </w:p>
    <w:p>
      <w:pPr>
        <w:spacing w:after="120" w:line="300"/>
      </w:pPr>
      <w:r>
        <w:rPr>
          <w:rFonts w:ascii="Calibri" w:cs="Calibri" w:eastAsia="Calibri" w:hAnsi="Calibri"/>
          <w:color w:val="1F2933"/>
          <w:sz w:val="22"/>
          <w:szCs w:val="22"/>
        </w:rPr>
        <w:t xml:space="preserve">We must report if all of these are true:</w:t>
      </w:r>
    </w:p>
    <w:p>
      <w:pPr>
        <w:pStyle w:val="ListParagraph"/>
        <w:numPr>
          <w:ilvl w:val="0"/>
          <w:numId w:val="1"/>
        </w:numPr>
        <w:spacing w:after="60" w:line="280"/>
      </w:pPr>
      <w:r>
        <w:rPr>
          <w:rFonts w:ascii="Calibri" w:cs="Calibri" w:eastAsia="Calibri" w:hAnsi="Calibri"/>
          <w:color w:val="1F2933"/>
          <w:sz w:val="22"/>
          <w:szCs w:val="22"/>
        </w:rPr>
        <w:t xml:space="preserve">A cyber security incident has happened, is happening or is about to happen</w:t>
      </w:r>
    </w:p>
    <w:p>
      <w:pPr>
        <w:pStyle w:val="ListParagraph"/>
        <w:numPr>
          <w:ilvl w:val="0"/>
          <w:numId w:val="1"/>
        </w:numPr>
        <w:spacing w:after="60" w:line="280"/>
      </w:pPr>
      <w:r>
        <w:rPr>
          <w:rFonts w:ascii="Calibri" w:cs="Calibri" w:eastAsia="Calibri" w:hAnsi="Calibri"/>
          <w:color w:val="1F2933"/>
          <w:sz w:val="22"/>
          <w:szCs w:val="22"/>
        </w:rPr>
        <w:t xml:space="preserve">It has had, or could reasonably be expected to have, a direct or indirect impact on [Organisation]</w:t>
      </w:r>
    </w:p>
    <w:p>
      <w:pPr>
        <w:pStyle w:val="ListParagraph"/>
        <w:numPr>
          <w:ilvl w:val="0"/>
          <w:numId w:val="1"/>
        </w:numPr>
        <w:spacing w:after="60" w:line="280"/>
      </w:pPr>
      <w:r>
        <w:rPr>
          <w:rFonts w:ascii="Calibri" w:cs="Calibri" w:eastAsia="Calibri" w:hAnsi="Calibri"/>
          <w:color w:val="1F2933"/>
          <w:sz w:val="22"/>
          <w:szCs w:val="22"/>
        </w:rPr>
        <w:t xml:space="preserve">Someone demands something from [Organisation], or from another entity, to benefit from the incident</w:t>
      </w:r>
    </w:p>
    <w:p>
      <w:pPr>
        <w:pStyle w:val="ListParagraph"/>
        <w:numPr>
          <w:ilvl w:val="0"/>
          <w:numId w:val="1"/>
        </w:numPr>
        <w:spacing w:after="60" w:line="280"/>
      </w:pPr>
      <w:r>
        <w:rPr>
          <w:rFonts w:ascii="Calibri" w:cs="Calibri" w:eastAsia="Calibri" w:hAnsi="Calibri"/>
          <w:color w:val="1F2933"/>
          <w:sz w:val="22"/>
          <w:szCs w:val="22"/>
        </w:rPr>
        <w:t xml:space="preserve">[Organisation] makes a payment or gives a benefit (money, property or any other advantage) directly related to the demand, or knows someone else did so on its behalf</w:t>
      </w:r>
    </w:p>
    <w:p>
      <w:pPr>
        <w:pStyle w:val="Heading2"/>
        <w:spacing w:after="100" w:before="280"/>
      </w:pPr>
      <w:r>
        <w:rPr>
          <w:rFonts w:ascii="Calibri" w:cs="Calibri" w:eastAsia="Calibri" w:hAnsi="Calibri"/>
          <w:color w:val="1F2933"/>
        </w:rPr>
        <w:t xml:space="preserve">4. Recording a payment</w:t>
      </w:r>
    </w:p>
    <w:p>
      <w:pPr>
        <w:spacing w:after="120" w:line="300"/>
      </w:pPr>
      <w:r>
        <w:rPr>
          <w:rFonts w:ascii="Calibri" w:cs="Calibri" w:eastAsia="Calibri" w:hAnsi="Calibri"/>
          <w:color w:val="1F2933"/>
          <w:sz w:val="22"/>
          <w:szCs w:val="22"/>
        </w:rPr>
        <w:t xml:space="preserve">[The Chief Executive Officer] decides on any payment, with legal advice. That decision is outside this procedure.</w:t>
      </w:r>
    </w:p>
    <w:p>
      <w:pPr>
        <w:spacing w:after="120" w:line="300"/>
      </w:pPr>
      <w:r>
        <w:rPr>
          <w:rFonts w:ascii="Calibri" w:cs="Calibri" w:eastAsia="Calibri" w:hAnsi="Calibri"/>
          <w:color w:val="1F2933"/>
          <w:sz w:val="22"/>
          <w:szCs w:val="22"/>
        </w:rPr>
        <w:t xml:space="preserve">The moment a payment is made, or we learn one was made on our behalf, [the incident lead] records the date and time, the amount or what was given, how it was provided, who made it and the demand it answers. The 72 hours start from that moment.</w:t>
      </w:r>
    </w:p>
    <w:p>
      <w:pPr>
        <w:pStyle w:val="Heading2"/>
        <w:spacing w:after="100" w:before="280"/>
      </w:pPr>
      <w:r>
        <w:rPr>
          <w:rFonts w:ascii="Calibri" w:cs="Calibri" w:eastAsia="Calibri" w:hAnsi="Calibri"/>
          <w:color w:val="1F2933"/>
        </w:rPr>
        <w:t xml:space="preserve">5. Reporting within 72 hours</w:t>
      </w:r>
    </w:p>
    <w:p>
      <w:pPr>
        <w:pStyle w:val="ListParagraph"/>
        <w:numPr>
          <w:ilvl w:val="0"/>
          <w:numId w:val="1"/>
        </w:numPr>
        <w:spacing w:after="60" w:line="280"/>
      </w:pPr>
      <w:r>
        <w:rPr>
          <w:rFonts w:ascii="Calibri" w:cs="Calibri" w:eastAsia="Calibri" w:hAnsi="Calibri"/>
          <w:color w:val="1F2933"/>
          <w:sz w:val="22"/>
          <w:szCs w:val="22"/>
        </w:rPr>
        <w:t xml:space="preserve">[The IT Manager] prepares the report using the ransomware payment reporting form on the Australian Signals Directorate's website, cyber.gov.au</w:t>
      </w:r>
    </w:p>
    <w:p>
      <w:pPr>
        <w:pStyle w:val="ListParagraph"/>
        <w:numPr>
          <w:ilvl w:val="0"/>
          <w:numId w:val="1"/>
        </w:numPr>
        <w:spacing w:after="60" w:line="280"/>
      </w:pPr>
      <w:r>
        <w:rPr>
          <w:rFonts w:ascii="Calibri" w:cs="Calibri" w:eastAsia="Calibri" w:hAnsi="Calibri"/>
          <w:color w:val="1F2933"/>
          <w:sz w:val="22"/>
          <w:szCs w:val="22"/>
        </w:rPr>
        <w:t xml:space="preserve">[Our legal adviser] checks it. If the check is not finished in time, the report is still submitted within the 72 hours</w:t>
      </w:r>
    </w:p>
    <w:p>
      <w:pPr>
        <w:pStyle w:val="ListParagraph"/>
        <w:numPr>
          <w:ilvl w:val="0"/>
          <w:numId w:val="1"/>
        </w:numPr>
        <w:spacing w:after="60" w:line="280"/>
      </w:pPr>
      <w:r>
        <w:rPr>
          <w:rFonts w:ascii="Calibri" w:cs="Calibri" w:eastAsia="Calibri" w:hAnsi="Calibri"/>
          <w:color w:val="1F2933"/>
          <w:sz w:val="22"/>
          <w:szCs w:val="22"/>
        </w:rPr>
        <w:t xml:space="preserve">[The IT Manager] submits it within 72 hours of the payment, or of learning about it. Our internal target is [within 48 hours]</w:t>
      </w:r>
    </w:p>
    <w:p>
      <w:pPr>
        <w:pStyle w:val="ListParagraph"/>
        <w:numPr>
          <w:ilvl w:val="0"/>
          <w:numId w:val="1"/>
        </w:numPr>
        <w:spacing w:after="60" w:line="280"/>
      </w:pPr>
      <w:r>
        <w:rPr>
          <w:rFonts w:ascii="Calibri" w:cs="Calibri" w:eastAsia="Calibri" w:hAnsi="Calibri"/>
          <w:color w:val="1F2933"/>
          <w:sz w:val="22"/>
          <w:szCs w:val="22"/>
        </w:rPr>
        <w:t xml:space="preserve">If either of them is away or cannot be reached, [the deputy role] stands in</w:t>
      </w:r>
    </w:p>
    <w:p>
      <w:pPr>
        <w:pStyle w:val="ListParagraph"/>
        <w:numPr>
          <w:ilvl w:val="0"/>
          <w:numId w:val="1"/>
        </w:numPr>
        <w:spacing w:after="60" w:line="280"/>
      </w:pPr>
      <w:r>
        <w:rPr>
          <w:rFonts w:ascii="Calibri" w:cs="Calibri" w:eastAsia="Calibri" w:hAnsi="Calibri"/>
          <w:color w:val="1F2933"/>
          <w:sz w:val="22"/>
          <w:szCs w:val="22"/>
        </w:rPr>
        <w:t xml:space="preserve">We include everything we know, or can find out by reasonable search or enquiry, when we report. We do not hold the report back to finish an investigation. Anything we find out later goes in the incident records</w:t>
      </w:r>
    </w:p>
    <w:p>
      <w:pPr>
        <w:pStyle w:val="Heading2"/>
        <w:spacing w:after="100" w:before="280"/>
      </w:pPr>
      <w:r>
        <w:rPr>
          <w:rFonts w:ascii="Calibri" w:cs="Calibri" w:eastAsia="Calibri" w:hAnsi="Calibri"/>
          <w:color w:val="1F2933"/>
        </w:rPr>
        <w:t xml:space="preserve">6. What the report must contain</w:t>
      </w:r>
    </w:p>
    <w:p>
      <w:pPr>
        <w:spacing w:after="120" w:line="300"/>
      </w:pPr>
      <w:r>
        <w:rPr>
          <w:rFonts w:ascii="Calibri" w:cs="Calibri" w:eastAsia="Calibri" w:hAnsi="Calibri"/>
          <w:color w:val="1F2933"/>
          <w:sz w:val="22"/>
          <w:szCs w:val="22"/>
        </w:rPr>
        <w:t xml:space="preserve">We can also include any other information about the incident.</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Information</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to include</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we get it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Our details</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Contact and business details, including our ABN and address</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[Finance]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Who paid, if someone else did</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Their contact and business details, including ABN and address</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[The entity that paid]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The incident</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When it happened or is estimated to have happened; when we became aware of it; the impact on our infrastructure and on our customers; any ransomware or malware variants used; any vulnerabilities exploited; anything that could help the Government respond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[The incident lead and IT]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The demand</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The amount or benefit demanded, and how payment was demanded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[The incident lead]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The payment</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The amount or benefit given, and how it was provided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[Finance]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Communications</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When and how we communicated with the extorting entity, a brief description of those communications, and any negotiations before the payment</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[The incident lead or negotiator]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7. Payments made on our behalf</w:t>
      </w:r>
    </w:p>
    <w:p>
      <w:pPr>
        <w:spacing w:after="120" w:line="300"/>
      </w:pPr>
      <w:r>
        <w:rPr>
          <w:rFonts w:ascii="Calibri" w:cs="Calibri" w:eastAsia="Calibri" w:hAnsi="Calibri"/>
          <w:color w:val="1F2933"/>
          <w:sz w:val="22"/>
          <w:szCs w:val="22"/>
        </w:rPr>
        <w:t xml:space="preserve">If someone else pays for us, such as [our insurer, an incident response firm or a related company], the 72 hours run from when we become aware of the payment, and the report includes that entity's contact and business details. When we make or renew our arrangements with them, [the incident lead] asks them to tell [the incident lead] straight away if they make or arrange a payment for us, and to give us their contact and business details.</w:t>
      </w:r>
    </w:p>
    <w:p>
      <w:pPr>
        <w:pStyle w:val="Heading2"/>
        <w:spacing w:after="100" w:before="280"/>
      </w:pPr>
      <w:r>
        <w:rPr>
          <w:rFonts w:ascii="Calibri" w:cs="Calibri" w:eastAsia="Calibri" w:hAnsi="Calibri"/>
          <w:color w:val="1F2933"/>
        </w:rPr>
        <w:t xml:space="preserve">8. Records, protection and review</w:t>
      </w:r>
    </w:p>
    <w:p>
      <w:pPr>
        <w:pStyle w:val="ListParagraph"/>
        <w:numPr>
          <w:ilvl w:val="0"/>
          <w:numId w:val="1"/>
        </w:numPr>
        <w:spacing w:after="60" w:line="280"/>
      </w:pPr>
      <w:r>
        <w:rPr>
          <w:rFonts w:ascii="Calibri" w:cs="Calibri" w:eastAsia="Calibri" w:hAnsi="Calibri"/>
          <w:color w:val="1F2933"/>
          <w:sz w:val="22"/>
          <w:szCs w:val="22"/>
        </w:rPr>
        <w:t xml:space="preserve">Keep a record of every report: what we submitted, when, by whom, and any reference number, with the incident records</w:t>
      </w:r>
    </w:p>
    <w:p>
      <w:pPr>
        <w:pStyle w:val="ListParagraph"/>
        <w:numPr>
          <w:ilvl w:val="0"/>
          <w:numId w:val="1"/>
        </w:numPr>
        <w:spacing w:after="60" w:line="280"/>
      </w:pPr>
      <w:r>
        <w:rPr>
          <w:rFonts w:ascii="Calibri" w:cs="Calibri" w:eastAsia="Calibri" w:hAnsi="Calibri"/>
          <w:color w:val="1F2933"/>
          <w:sz w:val="22"/>
          <w:szCs w:val="22"/>
        </w:rPr>
        <w:t xml:space="preserve">An entity is not liable to an action for damages for anything done or omitted in good faith in complying with the reporting obligation. Failing to report can attract a civil penalty</w:t>
      </w:r>
    </w:p>
    <w:p>
      <w:pPr>
        <w:pStyle w:val="ListParagraph"/>
        <w:numPr>
          <w:ilvl w:val="0"/>
          <w:numId w:val="1"/>
        </w:numPr>
        <w:spacing w:after="60" w:line="280"/>
      </w:pPr>
      <w:r>
        <w:rPr>
          <w:rFonts w:ascii="Calibri" w:cs="Calibri" w:eastAsia="Calibri" w:hAnsi="Calibri"/>
          <w:color w:val="1F2933"/>
          <w:sz w:val="22"/>
          <w:szCs w:val="22"/>
        </w:rPr>
        <w:t xml:space="preserve">Review this procedure [at least once a year], after any ransomware incident, and when the law or the reporting arrangements change. Owner: [role]</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advice. Replace every bracketed placeholder, delete what does not apply, and have it approved before you rely on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9mumvvs9xnp4fnaz4jki7">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umvvs9xnp4fnaz4jki7"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Ransomware Payment Reporting Procedure - Template</dc:title>
  <dc:creator>PolicyMint</dc:creator>
  <dc:description>How to report a ransomware or cyber extortion payment to the Australian Government within 72 hours, under Part 3 of the Cyber Security Act 2024. Replace the bracketed placeholders with your own details.</dc:description>
  <cp:lastModifiedBy>Un-named</cp:lastModifiedBy>
  <cp:revision>1</cp:revision>
  <dcterms:created xsi:type="dcterms:W3CDTF">2026-10-16T00:09:00.315Z</dcterms:created>
  <dcterms:modified xsi:type="dcterms:W3CDTF">2026-10-16T00:09:00.315Z</dcterms:modified>
</cp:coreProperties>
</file>

<file path=docProps/custom.xml><?xml version="1.0" encoding="utf-8"?>
<Properties xmlns="http://schemas.openxmlformats.org/officeDocument/2006/custom-properties" xmlns:vt="http://schemas.openxmlformats.org/officeDocument/2006/docPropsVTypes"/>
</file>