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Information Security Policy - Template</w:t>
      </w:r>
    </w:p>
    <w:p>
      <w:pPr>
        <w:spacing w:after="120" w:line="300"/>
        <w:rPr>
          <w:i/>
          <w:iCs/>
          <w:color w:val="5B6770"/>
        </w:rPr>
      </w:pPr>
      <w:r>
        <w:rPr>
          <w:rFonts w:ascii="Calibri" w:cs="Calibri" w:eastAsia="Calibri" w:hAnsi="Calibri"/>
          <w:i/>
          <w:iCs/>
          <w:color w:val="5B6770"/>
          <w:sz w:val="22"/>
          <w:szCs w:val="22"/>
        </w:rPr>
        <w:t xml:space="preserve">An editable top-level information security policy. Replace the bracketed placeholders with your own details.</w:t>
      </w:r>
    </w:p>
    <w:p>
      <w:pPr>
        <w:spacing w:after="200" w:before="120" w:line="300"/>
      </w:pPr>
      <w:r>
        <w:rPr>
          <w:rFonts w:ascii="Calibri" w:cs="Calibri" w:eastAsia="Calibri" w:hAnsi="Calibri"/>
          <w:color w:val="1F2933"/>
          <w:sz w:val="22"/>
          <w:szCs w:val="22"/>
        </w:rPr>
        <w:t xml:space="preserve">[Organization] depends on the confidentiality, integrity and availability of its information and systems. This policy sets out our commitment to protecting that information and the rules everyone must follow. It is approved by top management, communicated to everyone in scope, and applies to anyone who works for us or with us.</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policy states [Organization]'s commitment to information security and directs how we protect the information we hold - our own, our people's and our customers'. It sits above every other security policy and procedure we maintain: where a more detailed document conflicts with it, this policy takes precedence.</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policy applies to all employees, contractors and third parties acting on our behalf; to all information [Organization] holds in any form, including paper; and to every system, device, network and cloud service used to process it, including personally owned devices where their use is permitted.</w:t>
      </w:r>
    </w:p>
    <w:p>
      <w:pPr>
        <w:pStyle w:val="Heading2"/>
        <w:spacing w:after="100" w:before="280"/>
      </w:pPr>
      <w:r>
        <w:rPr>
          <w:rFonts w:ascii="Calibri" w:cs="Calibri" w:eastAsia="Calibri" w:hAnsi="Calibri"/>
          <w:color w:val="1F2933"/>
        </w:rPr>
        <w:t xml:space="preserve">3. Policy statements</w:t>
      </w:r>
    </w:p>
    <w:p>
      <w:pPr>
        <w:spacing w:after="120" w:line="300"/>
      </w:pPr>
      <w:r>
        <w:rPr>
          <w:rFonts w:ascii="Calibri" w:cs="Calibri" w:eastAsia="Calibri" w:hAnsi="Calibri"/>
          <w:color w:val="1F2933"/>
          <w:sz w:val="22"/>
          <w:szCs w:val="22"/>
        </w:rPr>
        <w:t xml:space="preserve">[Organization] is committed to the following:</w:t>
      </w:r>
    </w:p>
    <w:p>
      <w:pPr>
        <w:pStyle w:val="ListParagraph"/>
        <w:numPr>
          <w:ilvl w:val="0"/>
          <w:numId w:val="1"/>
        </w:numPr>
        <w:spacing w:after="60" w:line="280"/>
      </w:pPr>
      <w:r>
        <w:rPr>
          <w:rFonts w:ascii="Calibri" w:cs="Calibri" w:eastAsia="Calibri" w:hAnsi="Calibri"/>
          <w:color w:val="1F2933"/>
          <w:sz w:val="22"/>
          <w:szCs w:val="22"/>
        </w:rPr>
        <w:t xml:space="preserve">Protecting the confidentiality, integrity and availability of the information we hold.</w:t>
      </w:r>
    </w:p>
    <w:p>
      <w:pPr>
        <w:pStyle w:val="ListParagraph"/>
        <w:numPr>
          <w:ilvl w:val="0"/>
          <w:numId w:val="1"/>
        </w:numPr>
        <w:spacing w:after="60" w:line="280"/>
      </w:pPr>
      <w:r>
        <w:rPr>
          <w:rFonts w:ascii="Calibri" w:cs="Calibri" w:eastAsia="Calibri" w:hAnsi="Calibri"/>
          <w:color w:val="1F2933"/>
          <w:sz w:val="22"/>
          <w:szCs w:val="22"/>
        </w:rPr>
        <w:t xml:space="preserve">Identifying, assessing and treating information security risk in a structured, documented way.</w:t>
      </w:r>
    </w:p>
    <w:p>
      <w:pPr>
        <w:pStyle w:val="ListParagraph"/>
        <w:numPr>
          <w:ilvl w:val="0"/>
          <w:numId w:val="1"/>
        </w:numPr>
        <w:spacing w:after="60" w:line="280"/>
      </w:pPr>
      <w:r>
        <w:rPr>
          <w:rFonts w:ascii="Calibri" w:cs="Calibri" w:eastAsia="Calibri" w:hAnsi="Calibri"/>
          <w:color w:val="1F2933"/>
          <w:sz w:val="22"/>
          <w:szCs w:val="22"/>
        </w:rPr>
        <w:t xml:space="preserve">Meeting our legal, regulatory and contractual obligations, including our privacy obligations.</w:t>
      </w:r>
    </w:p>
    <w:p>
      <w:pPr>
        <w:pStyle w:val="ListParagraph"/>
        <w:numPr>
          <w:ilvl w:val="0"/>
          <w:numId w:val="1"/>
        </w:numPr>
        <w:spacing w:after="60" w:line="280"/>
      </w:pPr>
      <w:r>
        <w:rPr>
          <w:rFonts w:ascii="Calibri" w:cs="Calibri" w:eastAsia="Calibri" w:hAnsi="Calibri"/>
          <w:color w:val="1F2933"/>
          <w:sz w:val="22"/>
          <w:szCs w:val="22"/>
        </w:rPr>
        <w:t xml:space="preserve">Granting access to information on a least-privilege, need-to-know basis.</w:t>
      </w:r>
    </w:p>
    <w:p>
      <w:pPr>
        <w:pStyle w:val="ListParagraph"/>
        <w:numPr>
          <w:ilvl w:val="0"/>
          <w:numId w:val="1"/>
        </w:numPr>
        <w:spacing w:after="60" w:line="280"/>
      </w:pPr>
      <w:r>
        <w:rPr>
          <w:rFonts w:ascii="Calibri" w:cs="Calibri" w:eastAsia="Calibri" w:hAnsi="Calibri"/>
          <w:color w:val="1F2933"/>
          <w:sz w:val="22"/>
          <w:szCs w:val="22"/>
        </w:rPr>
        <w:t xml:space="preserve">Giving everyone the training and the tools they need to handle information safely.</w:t>
      </w:r>
    </w:p>
    <w:p>
      <w:pPr>
        <w:pStyle w:val="ListParagraph"/>
        <w:numPr>
          <w:ilvl w:val="0"/>
          <w:numId w:val="1"/>
        </w:numPr>
        <w:spacing w:after="60" w:line="280"/>
      </w:pPr>
      <w:r>
        <w:rPr>
          <w:rFonts w:ascii="Calibri" w:cs="Calibri" w:eastAsia="Calibri" w:hAnsi="Calibri"/>
          <w:color w:val="1F2933"/>
          <w:sz w:val="22"/>
          <w:szCs w:val="22"/>
        </w:rPr>
        <w:t xml:space="preserve">Reporting, investigating and learning from information security incidents.</w:t>
      </w:r>
    </w:p>
    <w:p>
      <w:pPr>
        <w:pStyle w:val="ListParagraph"/>
        <w:numPr>
          <w:ilvl w:val="0"/>
          <w:numId w:val="1"/>
        </w:numPr>
        <w:spacing w:after="60" w:line="280"/>
      </w:pPr>
      <w:r>
        <w:rPr>
          <w:rFonts w:ascii="Calibri" w:cs="Calibri" w:eastAsia="Calibri" w:hAnsi="Calibri"/>
          <w:color w:val="1F2933"/>
          <w:sz w:val="22"/>
          <w:szCs w:val="22"/>
        </w:rPr>
        <w:t xml:space="preserve">Setting measurable security objectives and reviewing progress against them.</w:t>
      </w:r>
    </w:p>
    <w:p>
      <w:pPr>
        <w:pStyle w:val="Heading2"/>
        <w:spacing w:after="100" w:before="280"/>
      </w:pPr>
      <w:r>
        <w:rPr>
          <w:rFonts w:ascii="Calibri" w:cs="Calibri" w:eastAsia="Calibri" w:hAnsi="Calibri"/>
          <w:color w:val="1F2933"/>
        </w:rPr>
        <w:t xml:space="preserve">4. Roles and responsibilities</w:t>
      </w:r>
    </w:p>
    <w:p>
      <w:pPr>
        <w:spacing w:after="120" w:line="300"/>
      </w:pPr>
      <w:r>
        <w:rPr>
          <w:rFonts w:ascii="Calibri" w:cs="Calibri" w:eastAsia="Calibri" w:hAnsi="Calibri"/>
          <w:color w:val="1F2933"/>
          <w:sz w:val="22"/>
          <w:szCs w:val="22"/>
        </w:rPr>
        <w:t xml:space="preserve">[Role, for example the CISO or IT Manager] owns this policy and the wider security program, and reports on it to [management forum] at least [quarterly]. Managers are accountable for security within their own teams, including approving access for their people. Everyone is responsible for following this policy and for reporting anything that looks wrong.</w:t>
      </w:r>
    </w:p>
    <w:p>
      <w:pPr>
        <w:pStyle w:val="Heading2"/>
        <w:spacing w:after="100" w:before="280"/>
      </w:pPr>
      <w:r>
        <w:rPr>
          <w:rFonts w:ascii="Calibri" w:cs="Calibri" w:eastAsia="Calibri" w:hAnsi="Calibri"/>
          <w:color w:val="1F2933"/>
        </w:rPr>
        <w:t xml:space="preserve">5. Risk management</w:t>
      </w:r>
    </w:p>
    <w:p>
      <w:pPr>
        <w:spacing w:after="120" w:line="300"/>
      </w:pPr>
      <w:r>
        <w:rPr>
          <w:rFonts w:ascii="Calibri" w:cs="Calibri" w:eastAsia="Calibri" w:hAnsi="Calibri"/>
          <w:color w:val="1F2933"/>
          <w:sz w:val="22"/>
          <w:szCs w:val="22"/>
        </w:rPr>
        <w:t xml:space="preserve">[Organization] maintains a documented method for identifying, assessing and treating information security risk, and a register that records each risk, its owner, the treatment chosen and the residual risk accepted. Risks are reviewed at least [annually] and whenever something significant changes - a new system, a new supplier, a new obligation or an incident.</w:t>
      </w:r>
    </w:p>
    <w:p>
      <w:pPr>
        <w:pStyle w:val="Heading2"/>
        <w:spacing w:after="100" w:before="280"/>
      </w:pPr>
      <w:r>
        <w:rPr>
          <w:rFonts w:ascii="Calibri" w:cs="Calibri" w:eastAsia="Calibri" w:hAnsi="Calibri"/>
          <w:color w:val="1F2933"/>
        </w:rPr>
        <w:t xml:space="preserve">6. Information classification and handling</w:t>
      </w:r>
    </w:p>
    <w:p>
      <w:pPr>
        <w:spacing w:after="120" w:line="300"/>
      </w:pPr>
      <w:r>
        <w:rPr>
          <w:rFonts w:ascii="Calibri" w:cs="Calibri" w:eastAsia="Calibri" w:hAnsi="Calibri"/>
          <w:color w:val="1F2933"/>
          <w:sz w:val="22"/>
          <w:szCs w:val="22"/>
        </w:rPr>
        <w:t xml:space="preserve">Information is classified as [Public], [Internal], [Confidential] or [Restricted]. The classification determines how information may be stored, shared, transmitted, printed and destroyed, and how long we keep it. Whoever creates or receives information is responsible for classifying it and applying the handling rules for that class.</w:t>
      </w:r>
    </w:p>
    <w:p>
      <w:pPr>
        <w:pStyle w:val="Heading2"/>
        <w:spacing w:after="100" w:before="280"/>
      </w:pPr>
      <w:r>
        <w:rPr>
          <w:rFonts w:ascii="Calibri" w:cs="Calibri" w:eastAsia="Calibri" w:hAnsi="Calibri"/>
          <w:color w:val="1F2933"/>
        </w:rPr>
        <w:t xml:space="preserve">7. Acceptable use</w:t>
      </w:r>
    </w:p>
    <w:p>
      <w:pPr>
        <w:spacing w:after="120" w:line="300"/>
      </w:pPr>
      <w:r>
        <w:rPr>
          <w:rFonts w:ascii="Calibri" w:cs="Calibri" w:eastAsia="Calibri" w:hAnsi="Calibri"/>
          <w:color w:val="1F2933"/>
          <w:sz w:val="22"/>
          <w:szCs w:val="22"/>
        </w:rPr>
        <w:t xml:space="preserve">Company systems and information are provided for business purposes. Everyone must protect their credentials, use multi-factor authentication wherever it is available, lock unattended devices, and keep confidential information out of unapproved tools and channels. The detailed rules sit in the Acceptable Use Policy.</w:t>
      </w:r>
    </w:p>
    <w:p>
      <w:pPr>
        <w:pStyle w:val="Heading2"/>
        <w:spacing w:after="100" w:before="280"/>
      </w:pPr>
      <w:r>
        <w:rPr>
          <w:rFonts w:ascii="Calibri" w:cs="Calibri" w:eastAsia="Calibri" w:hAnsi="Calibri"/>
          <w:color w:val="1F2933"/>
        </w:rPr>
        <w:t xml:space="preserve">8. Access control</w:t>
      </w:r>
    </w:p>
    <w:p>
      <w:pPr>
        <w:spacing w:after="120" w:line="300"/>
      </w:pPr>
      <w:r>
        <w:rPr>
          <w:rFonts w:ascii="Calibri" w:cs="Calibri" w:eastAsia="Calibri" w:hAnsi="Calibri"/>
          <w:color w:val="1F2933"/>
          <w:sz w:val="22"/>
          <w:szCs w:val="22"/>
        </w:rPr>
        <w:t xml:space="preserve">Access to information and systems is granted on a least-privilege, need-to-know basis and approved by [role]. Access rights are reviewed at least [every six months] and removed the same day someone changes role or leaves. Privileged accounts are separate from everyday accounts, held by named individuals, and monitored.</w:t>
      </w:r>
    </w:p>
    <w:p>
      <w:pPr>
        <w:pStyle w:val="Heading2"/>
        <w:spacing w:after="100" w:before="280"/>
      </w:pPr>
      <w:r>
        <w:rPr>
          <w:rFonts w:ascii="Calibri" w:cs="Calibri" w:eastAsia="Calibri" w:hAnsi="Calibri"/>
          <w:color w:val="1F2933"/>
        </w:rPr>
        <w:t xml:space="preserve">9. Suppliers and third parties</w:t>
      </w:r>
    </w:p>
    <w:p>
      <w:pPr>
        <w:spacing w:after="120" w:line="300"/>
      </w:pPr>
      <w:r>
        <w:rPr>
          <w:rFonts w:ascii="Calibri" w:cs="Calibri" w:eastAsia="Calibri" w:hAnsi="Calibri"/>
          <w:color w:val="1F2933"/>
          <w:sz w:val="22"/>
          <w:szCs w:val="22"/>
        </w:rPr>
        <w:t xml:space="preserve">Before a supplier handles [Organization] information or connects to our systems, [role] assesses the security risk of using them and records the security obligations in the contract. Supplier access is limited to what the service actually requires, reviewed at least [annually], and revoked when the engagement ends.</w:t>
      </w:r>
    </w:p>
    <w:p>
      <w:pPr>
        <w:pStyle w:val="Heading2"/>
        <w:spacing w:after="100" w:before="280"/>
      </w:pPr>
      <w:r>
        <w:rPr>
          <w:rFonts w:ascii="Calibri" w:cs="Calibri" w:eastAsia="Calibri" w:hAnsi="Calibri"/>
          <w:color w:val="1F2933"/>
        </w:rPr>
        <w:t xml:space="preserve">10. Incident response</w:t>
      </w:r>
    </w:p>
    <w:p>
      <w:pPr>
        <w:spacing w:after="120" w:line="300"/>
      </w:pPr>
      <w:r>
        <w:rPr>
          <w:rFonts w:ascii="Calibri" w:cs="Calibri" w:eastAsia="Calibri" w:hAnsi="Calibri"/>
          <w:color w:val="1F2933"/>
          <w:sz w:val="22"/>
          <w:szCs w:val="22"/>
        </w:rPr>
        <w:t xml:space="preserve">Suspected or confirmed security incidents must be reported to [role or channel] immediately and never concealed. [Organization] triages, contains and corrects incidents, notifies affected parties and regulators where the law or a contract requires it, and records what happened, what was done and what changed as a result. The procedure sits in the Incident Response Plan.</w:t>
      </w:r>
    </w:p>
    <w:p>
      <w:pPr>
        <w:pStyle w:val="Heading2"/>
        <w:spacing w:after="100" w:before="280"/>
      </w:pPr>
      <w:r>
        <w:rPr>
          <w:rFonts w:ascii="Calibri" w:cs="Calibri" w:eastAsia="Calibri" w:hAnsi="Calibri"/>
          <w:color w:val="1F2933"/>
        </w:rPr>
        <w:t xml:space="preserve">11. Business continuity</w:t>
      </w:r>
    </w:p>
    <w:p>
      <w:pPr>
        <w:spacing w:after="120" w:line="300"/>
      </w:pPr>
      <w:r>
        <w:rPr>
          <w:rFonts w:ascii="Calibri" w:cs="Calibri" w:eastAsia="Calibri" w:hAnsi="Calibri"/>
          <w:color w:val="1F2933"/>
          <w:sz w:val="22"/>
          <w:szCs w:val="22"/>
        </w:rPr>
        <w:t xml:space="preserve">[Organization] identifies the systems and information its critical activities depend on, and maintains backups, recovery arrangements and plans sized to agreed recovery targets. Backups are tested and recovery is exercised at least [annually]. The detail sits in the Business Continuity Plan.</w:t>
      </w:r>
    </w:p>
    <w:p>
      <w:pPr>
        <w:pStyle w:val="Heading2"/>
        <w:spacing w:after="100" w:before="280"/>
      </w:pPr>
      <w:r>
        <w:rPr>
          <w:rFonts w:ascii="Calibri" w:cs="Calibri" w:eastAsia="Calibri" w:hAnsi="Calibri"/>
          <w:color w:val="1F2933"/>
        </w:rPr>
        <w:t xml:space="preserve">12. Training and awareness</w:t>
      </w:r>
    </w:p>
    <w:p>
      <w:pPr>
        <w:spacing w:after="120" w:line="300"/>
      </w:pPr>
      <w:r>
        <w:rPr>
          <w:rFonts w:ascii="Calibri" w:cs="Calibri" w:eastAsia="Calibri" w:hAnsi="Calibri"/>
          <w:color w:val="1F2933"/>
          <w:sz w:val="22"/>
          <w:szCs w:val="22"/>
        </w:rPr>
        <w:t xml:space="preserve">Everyone completes security awareness training when they join and at least [annually] afterwards, covering the parts of this policy that apply to their role. People holding elevated access or specific obligations receive additional training. [Role] keeps a record of who has completed it.</w:t>
      </w:r>
    </w:p>
    <w:p>
      <w:pPr>
        <w:pStyle w:val="Heading2"/>
        <w:spacing w:after="100" w:before="280"/>
      </w:pPr>
      <w:r>
        <w:rPr>
          <w:rFonts w:ascii="Calibri" w:cs="Calibri" w:eastAsia="Calibri" w:hAnsi="Calibri"/>
          <w:color w:val="1F2933"/>
        </w:rPr>
        <w:t xml:space="preserve">13. Compliance and consequences</w:t>
      </w:r>
    </w:p>
    <w:p>
      <w:pPr>
        <w:spacing w:after="120" w:line="300"/>
      </w:pPr>
      <w:r>
        <w:rPr>
          <w:rFonts w:ascii="Calibri" w:cs="Calibri" w:eastAsia="Calibri" w:hAnsi="Calibri"/>
          <w:color w:val="1F2933"/>
          <w:sz w:val="22"/>
          <w:szCs w:val="22"/>
        </w:rPr>
        <w:t xml:space="preserve">Everyone in scope must comply with this policy, and [role] monitors that compliance and reports it to management. Breaches are handled under [Organization]'s disciplinary process for staff and under contract terms for suppliers and contractors. Where an exception is genuinely needed, it must be requested from [role], risk-assessed, time-limited, recorded and reviewed.</w:t>
      </w:r>
    </w:p>
    <w:p>
      <w:pPr>
        <w:pStyle w:val="Heading2"/>
        <w:spacing w:after="100" w:before="280"/>
      </w:pPr>
      <w:r>
        <w:rPr>
          <w:rFonts w:ascii="Calibri" w:cs="Calibri" w:eastAsia="Calibri" w:hAnsi="Calibri"/>
          <w:color w:val="1F2933"/>
        </w:rPr>
        <w:t xml:space="preserve">14. Review and approval</w:t>
      </w:r>
    </w:p>
    <w:p>
      <w:pPr>
        <w:spacing w:after="120" w:line="300"/>
      </w:pPr>
      <w:r>
        <w:rPr>
          <w:rFonts w:ascii="Calibri" w:cs="Calibri" w:eastAsia="Calibri" w:hAnsi="Calibri"/>
          <w:color w:val="1F2933"/>
          <w:sz w:val="22"/>
          <w:szCs w:val="22"/>
        </w:rPr>
        <w:t xml:space="preserve">This policy is reviewed at least annually, and sooner whenever there is a significant change to our systems, our risks, our obligations or our structure. Owned by [role]. Approved by [name], [title], on [date]. Version [x.x]. Next review [date].</w:t>
      </w:r>
    </w:p>
    <w:p>
      <w:pPr>
        <w:pBdr>
          <w:top w:val="single" w:color="C9D1D6" w:sz="6" w:space="8"/>
        </w:pBdr>
        <w:spacing w:after="120" w:before="360" w:line="300"/>
      </w:pPr>
      <w:r>
        <w:rPr>
          <w:rFonts w:ascii="Calibri" w:cs="Calibri" w:eastAsia="Calibri" w:hAnsi="Calibri"/>
          <w:color w:val="5B6770"/>
          <w:sz w:val="20"/>
          <w:szCs w:val="20"/>
        </w:rPr>
        <w:t xml:space="preserve">This template is a strong starting point, but a generic policy on its own does not pass an ISO 27001 audit. Certification needs the whole set - the Statement of Applicability, the risk methodology and register, and the topic policies your controls require - each mapped to what it satisfies and none contradicting the others. PolicyMint generates that full set, tailored to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aftpxuwsthfpgzva65skv">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tpxuwsthfpgzva65skv"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 Template</dc:title>
  <dc:creator>PolicyMint</dc:creator>
  <dc:description>An editable top-level information security policy. Replace the bracketed placeholders with your own details.</dc:description>
  <cp:lastModifiedBy>Un-named</cp:lastModifiedBy>
  <cp:revision>1</cp:revision>
  <dcterms:created xsi:type="dcterms:W3CDTF">2026-09-29T04:13:06.717Z</dcterms:created>
  <dcterms:modified xsi:type="dcterms:W3CDTF">2026-09-29T04:13:06.718Z</dcterms:modified>
</cp:coreProperties>
</file>

<file path=docProps/custom.xml><?xml version="1.0" encoding="utf-8"?>
<Properties xmlns="http://schemas.openxmlformats.org/officeDocument/2006/custom-properties" xmlns:vt="http://schemas.openxmlformats.org/officeDocument/2006/docPropsVTypes"/>
</file>