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Incident Response Plan - Template</w:t>
      </w:r>
    </w:p>
    <w:p>
      <w:pPr>
        <w:spacing w:after="120" w:line="300"/>
        <w:rPr>
          <w:i/>
          <w:iCs/>
          <w:color w:val="5B6770"/>
        </w:rPr>
      </w:pPr>
      <w:r>
        <w:rPr>
          <w:rFonts w:ascii="Calibri" w:cs="Calibri" w:eastAsia="Calibri" w:hAnsi="Calibri"/>
          <w:i/>
          <w:iCs/>
          <w:color w:val="5B6770"/>
          <w:sz w:val="22"/>
          <w:szCs w:val="22"/>
        </w:rPr>
        <w:t xml:space="preserve">Replace the bracketed placeholders with your own roles, channels and deadlines.</w:t>
      </w:r>
    </w:p>
    <w:p>
      <w:pPr>
        <w:spacing w:after="200" w:before="120" w:line="300"/>
      </w:pPr>
      <w:r>
        <w:rPr>
          <w:rFonts w:ascii="Calibri" w:cs="Calibri" w:eastAsia="Calibri" w:hAnsi="Calibri"/>
          <w:color w:val="1F2933"/>
          <w:sz w:val="22"/>
          <w:szCs w:val="22"/>
        </w:rPr>
        <w:t xml:space="preserve">[Organization] uses this incident response plan to detect, contain and recover from security incidents consistently. It applies to every suspected or confirmed incident affecting [Organization]'s information, systems or people.</w:t>
      </w:r>
    </w:p>
    <w:p>
      <w:pPr>
        <w:pStyle w:val="Heading2"/>
        <w:spacing w:after="100" w:before="280"/>
      </w:pPr>
      <w:r>
        <w:rPr>
          <w:rFonts w:ascii="Calibri" w:cs="Calibri" w:eastAsia="Calibri" w:hAnsi="Calibri"/>
          <w:color w:val="1F2933"/>
        </w:rPr>
        <w:t xml:space="preserve">1. Purpose and scope</w:t>
      </w:r>
    </w:p>
    <w:p>
      <w:pPr>
        <w:spacing w:after="120" w:line="300"/>
      </w:pPr>
      <w:r>
        <w:rPr>
          <w:rFonts w:ascii="Calibri" w:cs="Calibri" w:eastAsia="Calibri" w:hAnsi="Calibri"/>
          <w:color w:val="1F2933"/>
          <w:sz w:val="22"/>
          <w:szCs w:val="22"/>
        </w:rPr>
        <w:t xml:space="preserve">This plan covers all staff, contractors and suppliers, all company data wherever it is held, and every system and cloud service [Organization] depends on.</w:t>
      </w:r>
    </w:p>
    <w:p>
      <w:pPr>
        <w:pStyle w:val="Heading2"/>
        <w:spacing w:after="100" w:before="280"/>
      </w:pPr>
      <w:r>
        <w:rPr>
          <w:rFonts w:ascii="Calibri" w:cs="Calibri" w:eastAsia="Calibri" w:hAnsi="Calibri"/>
          <w:color w:val="1F2933"/>
        </w:rPr>
        <w:t xml:space="preserve">2. What counts as an incident</w:t>
      </w:r>
    </w:p>
    <w:p>
      <w:pPr>
        <w:spacing w:after="120" w:line="300"/>
      </w:pPr>
      <w:r>
        <w:rPr>
          <w:rFonts w:ascii="Calibri" w:cs="Calibri" w:eastAsia="Calibri" w:hAnsi="Calibri"/>
          <w:color w:val="1F2933"/>
          <w:sz w:val="22"/>
          <w:szCs w:val="22"/>
        </w:rPr>
        <w:t xml:space="preserve">An incident is any event that has compromised, or is likely to compromise, the confidentiality, integrity or availability of [Organization]'s information or systems. When in doubt, report it.</w:t>
      </w:r>
    </w:p>
    <w:p>
      <w:pPr>
        <w:pStyle w:val="ListParagraph"/>
        <w:numPr>
          <w:ilvl w:val="0"/>
          <w:numId w:val="1"/>
        </w:numPr>
        <w:spacing w:after="60" w:line="280"/>
      </w:pPr>
      <w:r>
        <w:rPr>
          <w:rFonts w:ascii="Calibri" w:cs="Calibri" w:eastAsia="Calibri" w:hAnsi="Calibri"/>
          <w:color w:val="1F2933"/>
          <w:sz w:val="22"/>
          <w:szCs w:val="22"/>
        </w:rPr>
        <w:t xml:space="preserve">Confirmed or suspected unauthorized access to an account, device or system.</w:t>
      </w:r>
    </w:p>
    <w:p>
      <w:pPr>
        <w:pStyle w:val="ListParagraph"/>
        <w:numPr>
          <w:ilvl w:val="0"/>
          <w:numId w:val="1"/>
        </w:numPr>
        <w:spacing w:after="60" w:line="280"/>
      </w:pPr>
      <w:r>
        <w:rPr>
          <w:rFonts w:ascii="Calibri" w:cs="Calibri" w:eastAsia="Calibri" w:hAnsi="Calibri"/>
          <w:color w:val="1F2933"/>
          <w:sz w:val="22"/>
          <w:szCs w:val="22"/>
        </w:rPr>
        <w:t xml:space="preserve">Malware, ransomware, or unexpected encryption of company data.</w:t>
      </w:r>
    </w:p>
    <w:p>
      <w:pPr>
        <w:pStyle w:val="ListParagraph"/>
        <w:numPr>
          <w:ilvl w:val="0"/>
          <w:numId w:val="1"/>
        </w:numPr>
        <w:spacing w:after="60" w:line="280"/>
      </w:pPr>
      <w:r>
        <w:rPr>
          <w:rFonts w:ascii="Calibri" w:cs="Calibri" w:eastAsia="Calibri" w:hAnsi="Calibri"/>
          <w:color w:val="1F2933"/>
          <w:sz w:val="22"/>
          <w:szCs w:val="22"/>
        </w:rPr>
        <w:t xml:space="preserve">Personal or customer data sent, exposed or published to the wrong party.</w:t>
      </w:r>
    </w:p>
    <w:p>
      <w:pPr>
        <w:pStyle w:val="ListParagraph"/>
        <w:numPr>
          <w:ilvl w:val="0"/>
          <w:numId w:val="1"/>
        </w:numPr>
        <w:spacing w:after="60" w:line="280"/>
      </w:pPr>
      <w:r>
        <w:rPr>
          <w:rFonts w:ascii="Calibri" w:cs="Calibri" w:eastAsia="Calibri" w:hAnsi="Calibri"/>
          <w:color w:val="1F2933"/>
          <w:sz w:val="22"/>
          <w:szCs w:val="22"/>
        </w:rPr>
        <w:t xml:space="preserve">Loss or theft of a device, a credential or a physical record.</w:t>
      </w:r>
    </w:p>
    <w:p>
      <w:pPr>
        <w:pStyle w:val="ListParagraph"/>
        <w:numPr>
          <w:ilvl w:val="0"/>
          <w:numId w:val="1"/>
        </w:numPr>
        <w:spacing w:after="60" w:line="280"/>
      </w:pPr>
      <w:r>
        <w:rPr>
          <w:rFonts w:ascii="Calibri" w:cs="Calibri" w:eastAsia="Calibri" w:hAnsi="Calibri"/>
          <w:color w:val="1F2933"/>
          <w:sz w:val="22"/>
          <w:szCs w:val="22"/>
        </w:rPr>
        <w:t xml:space="preserve">Serious misuse of company systems or a deliberate breach of security policy.</w:t>
      </w:r>
    </w:p>
    <w:p>
      <w:pPr>
        <w:pStyle w:val="Heading2"/>
        <w:spacing w:after="100" w:before="280"/>
      </w:pPr>
      <w:r>
        <w:rPr>
          <w:rFonts w:ascii="Calibri" w:cs="Calibri" w:eastAsia="Calibri" w:hAnsi="Calibri"/>
          <w:color w:val="1F2933"/>
        </w:rPr>
        <w:t xml:space="preserve">3. Roles and responsibilities</w:t>
      </w:r>
    </w:p>
    <w:p>
      <w:pPr>
        <w:spacing w:after="120" w:line="300"/>
      </w:pPr>
      <w:r>
        <w:rPr>
          <w:rFonts w:ascii="Calibri" w:cs="Calibri" w:eastAsia="Calibri" w:hAnsi="Calibri"/>
          <w:color w:val="1F2933"/>
          <w:sz w:val="22"/>
          <w:szCs w:val="22"/>
        </w:rPr>
        <w:t xml:space="preserve">[Role, e.g. Security Manager] is the incident lead and owns each incident from report to closure: they set severity, direct the response and close it. [Role] is the communications lead, the only person authorized to speak to customers, regulators or media. [Role, e.g. the CEO] is the executive sponsor and approves anything that stops trading. Responders are named in [on-call roster]; each role has a deputy.</w:t>
      </w:r>
    </w:p>
    <w:p>
      <w:pPr>
        <w:pStyle w:val="Heading2"/>
        <w:spacing w:after="100" w:before="280"/>
      </w:pPr>
      <w:r>
        <w:rPr>
          <w:rFonts w:ascii="Calibri" w:cs="Calibri" w:eastAsia="Calibri" w:hAnsi="Calibri"/>
          <w:color w:val="1F2933"/>
        </w:rPr>
        <w:t xml:space="preserve">4. Severity and response times</w:t>
      </w:r>
    </w:p>
    <w:p>
      <w:pPr>
        <w:spacing w:after="120" w:line="300"/>
      </w:pPr>
      <w:r>
        <w:rPr>
          <w:rFonts w:ascii="Calibri" w:cs="Calibri" w:eastAsia="Calibri" w:hAnsi="Calibri"/>
          <w:color w:val="1F2933"/>
          <w:sz w:val="22"/>
          <w:szCs w:val="22"/>
        </w:rPr>
        <w:t xml:space="preserve">The incident lead sets severity when the incident is identified and may change it as facts emerge. Severity sets the clock.</w:t>
      </w:r>
    </w:p>
    <w:p>
      <w:pPr>
        <w:pStyle w:val="ListParagraph"/>
        <w:numPr>
          <w:ilvl w:val="0"/>
          <w:numId w:val="1"/>
        </w:numPr>
        <w:spacing w:after="60" w:line="280"/>
      </w:pPr>
      <w:r>
        <w:rPr>
          <w:rFonts w:ascii="Calibri" w:cs="Calibri" w:eastAsia="Calibri" w:hAnsi="Calibri"/>
          <w:color w:val="1F2933"/>
          <w:sz w:val="22"/>
          <w:szCs w:val="22"/>
        </w:rPr>
        <w:t xml:space="preserve">Severity 1, critical: confirmed data breach, ransomware in production, or a total outage of a customer-facing service. Acknowledge within 15 minutes at any hour; contain within 1 hour.</w:t>
      </w:r>
    </w:p>
    <w:p>
      <w:pPr>
        <w:pStyle w:val="ListParagraph"/>
        <w:numPr>
          <w:ilvl w:val="0"/>
          <w:numId w:val="1"/>
        </w:numPr>
        <w:spacing w:after="60" w:line="280"/>
      </w:pPr>
      <w:r>
        <w:rPr>
          <w:rFonts w:ascii="Calibri" w:cs="Calibri" w:eastAsia="Calibri" w:hAnsi="Calibri"/>
          <w:color w:val="1F2933"/>
          <w:sz w:val="22"/>
          <w:szCs w:val="22"/>
        </w:rPr>
        <w:t xml:space="preserve">Severity 2, high: a compromised account or endpoint, or a successful phishing attack held to one user. Acknowledge within 1 hour in business hours; contain within 4 hours.</w:t>
      </w:r>
    </w:p>
    <w:p>
      <w:pPr>
        <w:pStyle w:val="ListParagraph"/>
        <w:numPr>
          <w:ilvl w:val="0"/>
          <w:numId w:val="1"/>
        </w:numPr>
        <w:spacing w:after="60" w:line="280"/>
      </w:pPr>
      <w:r>
        <w:rPr>
          <w:rFonts w:ascii="Calibri" w:cs="Calibri" w:eastAsia="Calibri" w:hAnsi="Calibri"/>
          <w:color w:val="1F2933"/>
          <w:sz w:val="22"/>
          <w:szCs w:val="22"/>
        </w:rPr>
        <w:t xml:space="preserve">Severity 3, medium: suspicious activity with no confirmed compromise, or a misconfiguration exposing internal data. Acknowledge within 4 business hours; resolve within 2 business days.</w:t>
      </w:r>
    </w:p>
    <w:p>
      <w:pPr>
        <w:pStyle w:val="ListParagraph"/>
        <w:numPr>
          <w:ilvl w:val="0"/>
          <w:numId w:val="1"/>
        </w:numPr>
        <w:spacing w:after="60" w:line="280"/>
      </w:pPr>
      <w:r>
        <w:rPr>
          <w:rFonts w:ascii="Calibri" w:cs="Calibri" w:eastAsia="Calibri" w:hAnsi="Calibri"/>
          <w:color w:val="1F2933"/>
          <w:sz w:val="22"/>
          <w:szCs w:val="22"/>
        </w:rPr>
        <w:t xml:space="preserve">Severity 4, low: a phishing email reported and not acted on, or a minor policy breach. Acknowledge next business day; resolve within 5 business days.</w:t>
      </w:r>
    </w:p>
    <w:p>
      <w:pPr>
        <w:pStyle w:val="Heading2"/>
        <w:spacing w:after="100" w:before="280"/>
      </w:pPr>
      <w:r>
        <w:rPr>
          <w:rFonts w:ascii="Calibri" w:cs="Calibri" w:eastAsia="Calibri" w:hAnsi="Calibri"/>
          <w:color w:val="1F2933"/>
        </w:rPr>
        <w:t xml:space="preserve">5. Reporting</w:t>
      </w:r>
    </w:p>
    <w:p>
      <w:pPr>
        <w:spacing w:after="120" w:line="300"/>
      </w:pPr>
      <w:r>
        <w:rPr>
          <w:rFonts w:ascii="Calibri" w:cs="Calibri" w:eastAsia="Calibri" w:hAnsi="Calibri"/>
          <w:color w:val="1F2933"/>
          <w:sz w:val="22"/>
          <w:szCs w:val="22"/>
        </w:rPr>
        <w:t xml:space="preserve">Report immediately to [channel, e.g. security@example.com], and to [after-hours number] outside hours. Nobody is penalized for reporting something harmless. Do not power off, wipe or tidy up an affected device unless the incident lead says so.</w:t>
      </w:r>
    </w:p>
    <w:p>
      <w:pPr>
        <w:pStyle w:val="Heading2"/>
        <w:spacing w:after="100" w:before="280"/>
      </w:pPr>
      <w:r>
        <w:rPr>
          <w:rFonts w:ascii="Calibri" w:cs="Calibri" w:eastAsia="Calibri" w:hAnsi="Calibri"/>
          <w:color w:val="1F2933"/>
        </w:rPr>
        <w:t xml:space="preserve">6. Response phases</w:t>
      </w:r>
    </w:p>
    <w:p>
      <w:pPr>
        <w:pStyle w:val="ListParagraph"/>
        <w:numPr>
          <w:ilvl w:val="0"/>
          <w:numId w:val="1"/>
        </w:numPr>
        <w:spacing w:after="60" w:line="280"/>
      </w:pPr>
      <w:r>
        <w:rPr>
          <w:rFonts w:ascii="Calibri" w:cs="Calibri" w:eastAsia="Calibri" w:hAnsi="Calibri"/>
          <w:color w:val="1F2933"/>
          <w:sz w:val="22"/>
          <w:szCs w:val="22"/>
        </w:rPr>
        <w:t xml:space="preserve">Preparation: keep contacts, access, backups, logging and this plan current, and rehearse.</w:t>
      </w:r>
    </w:p>
    <w:p>
      <w:pPr>
        <w:pStyle w:val="ListParagraph"/>
        <w:numPr>
          <w:ilvl w:val="0"/>
          <w:numId w:val="1"/>
        </w:numPr>
        <w:spacing w:after="60" w:line="280"/>
      </w:pPr>
      <w:r>
        <w:rPr>
          <w:rFonts w:ascii="Calibri" w:cs="Calibri" w:eastAsia="Calibri" w:hAnsi="Calibri"/>
          <w:color w:val="1F2933"/>
          <w:sz w:val="22"/>
          <w:szCs w:val="22"/>
        </w:rPr>
        <w:t xml:space="preserve">Identification: recognize and record the event, from monitoring or a person, confirm it is real, set severity and name the incident lead.</w:t>
      </w:r>
    </w:p>
    <w:p>
      <w:pPr>
        <w:pStyle w:val="ListParagraph"/>
        <w:numPr>
          <w:ilvl w:val="0"/>
          <w:numId w:val="1"/>
        </w:numPr>
        <w:spacing w:after="60" w:line="280"/>
      </w:pPr>
      <w:r>
        <w:rPr>
          <w:rFonts w:ascii="Calibri" w:cs="Calibri" w:eastAsia="Calibri" w:hAnsi="Calibri"/>
          <w:color w:val="1F2933"/>
          <w:sz w:val="22"/>
          <w:szCs w:val="22"/>
        </w:rPr>
        <w:t xml:space="preserve">Containment: stop the spread by isolating hosts, disabling accounts and revoking sessions and tokens.</w:t>
      </w:r>
    </w:p>
    <w:p>
      <w:pPr>
        <w:pStyle w:val="ListParagraph"/>
        <w:numPr>
          <w:ilvl w:val="0"/>
          <w:numId w:val="1"/>
        </w:numPr>
        <w:spacing w:after="60" w:line="280"/>
      </w:pPr>
      <w:r>
        <w:rPr>
          <w:rFonts w:ascii="Calibri" w:cs="Calibri" w:eastAsia="Calibri" w:hAnsi="Calibri"/>
          <w:color w:val="1F2933"/>
          <w:sz w:val="22"/>
          <w:szCs w:val="22"/>
        </w:rPr>
        <w:t xml:space="preserve">Eradication: remove the cause - the malware, the exposed credential, the vulnerable configuration.</w:t>
      </w:r>
    </w:p>
    <w:p>
      <w:pPr>
        <w:pStyle w:val="ListParagraph"/>
        <w:numPr>
          <w:ilvl w:val="0"/>
          <w:numId w:val="1"/>
        </w:numPr>
        <w:spacing w:after="60" w:line="280"/>
      </w:pPr>
      <w:r>
        <w:rPr>
          <w:rFonts w:ascii="Calibri" w:cs="Calibri" w:eastAsia="Calibri" w:hAnsi="Calibri"/>
          <w:color w:val="1F2933"/>
          <w:sz w:val="22"/>
          <w:szCs w:val="22"/>
        </w:rPr>
        <w:t xml:space="preserve">Recovery: restore from known-good backups, monitor closely, and confirm normal operation before closing.</w:t>
      </w:r>
    </w:p>
    <w:p>
      <w:pPr>
        <w:pStyle w:val="ListParagraph"/>
        <w:numPr>
          <w:ilvl w:val="0"/>
          <w:numId w:val="1"/>
        </w:numPr>
        <w:spacing w:after="60" w:line="280"/>
      </w:pPr>
      <w:r>
        <w:rPr>
          <w:rFonts w:ascii="Calibri" w:cs="Calibri" w:eastAsia="Calibri" w:hAnsi="Calibri"/>
          <w:color w:val="1F2933"/>
          <w:sz w:val="22"/>
          <w:szCs w:val="22"/>
        </w:rPr>
        <w:t xml:space="preserve">Lessons learned: run the post-incident review in section 9 and track every action it raises to closure.</w:t>
      </w:r>
    </w:p>
    <w:p>
      <w:pPr>
        <w:pStyle w:val="Heading2"/>
        <w:spacing w:after="100" w:before="280"/>
      </w:pPr>
      <w:r>
        <w:rPr>
          <w:rFonts w:ascii="Calibri" w:cs="Calibri" w:eastAsia="Calibri" w:hAnsi="Calibri"/>
          <w:color w:val="1F2933"/>
        </w:rPr>
        <w:t xml:space="preserve">7. Evidence and chain of custody</w:t>
      </w:r>
    </w:p>
    <w:p>
      <w:pPr>
        <w:spacing w:after="120" w:line="300"/>
      </w:pPr>
      <w:r>
        <w:rPr>
          <w:rFonts w:ascii="Calibri" w:cs="Calibri" w:eastAsia="Calibri" w:hAnsi="Calibri"/>
          <w:color w:val="1F2933"/>
          <w:sz w:val="22"/>
          <w:szCs w:val="22"/>
        </w:rPr>
        <w:t xml:space="preserve">Preserve what you can before changing anything: isolate rather than power off, capture logs and disk or memory images, and screenshot with timestamps. Log every item with who collected it, when, and where it is stored, and sign each handover. That chain of custody is what makes evidence usable by an insurer, a regulator or a court.</w:t>
      </w:r>
    </w:p>
    <w:p>
      <w:pPr>
        <w:pStyle w:val="Heading2"/>
        <w:spacing w:after="100" w:before="280"/>
      </w:pPr>
      <w:r>
        <w:rPr>
          <w:rFonts w:ascii="Calibri" w:cs="Calibri" w:eastAsia="Calibri" w:hAnsi="Calibri"/>
          <w:color w:val="1F2933"/>
        </w:rPr>
        <w:t xml:space="preserve">8. Notification and communications</w:t>
      </w:r>
    </w:p>
    <w:p>
      <w:pPr>
        <w:spacing w:after="120" w:line="300"/>
      </w:pPr>
      <w:r>
        <w:rPr>
          <w:rFonts w:ascii="Calibri" w:cs="Calibri" w:eastAsia="Calibri" w:hAnsi="Calibri"/>
          <w:color w:val="1F2933"/>
          <w:sz w:val="22"/>
          <w:szCs w:val="22"/>
        </w:rPr>
        <w:t xml:space="preserve">The communications lead runs all messaging. Where an eligible data breach is likely to cause serious harm, [Organization] notifies the Office of the Australian Information Commissioner and the affected individuals as soon as practicable, assessing within 30 days. Where the EU or UK GDPR applies, the supervisory authority is notified within 72 hours of becoming aware. [Role] checks customer contracts, whose deadlines are often shorter.</w:t>
      </w:r>
    </w:p>
    <w:p>
      <w:pPr>
        <w:pStyle w:val="Heading2"/>
        <w:spacing w:after="100" w:before="280"/>
      </w:pPr>
      <w:r>
        <w:rPr>
          <w:rFonts w:ascii="Calibri" w:cs="Calibri" w:eastAsia="Calibri" w:hAnsi="Calibri"/>
          <w:color w:val="1F2933"/>
        </w:rPr>
        <w:t xml:space="preserve">9. Post-incident review</w:t>
      </w:r>
    </w:p>
    <w:p>
      <w:pPr>
        <w:spacing w:after="120" w:line="300"/>
      </w:pPr>
      <w:r>
        <w:rPr>
          <w:rFonts w:ascii="Calibri" w:cs="Calibri" w:eastAsia="Calibri" w:hAnsi="Calibri"/>
          <w:color w:val="1F2933"/>
          <w:sz w:val="22"/>
          <w:szCs w:val="22"/>
        </w:rPr>
        <w:t xml:space="preserve">Every severity 1 and 2 incident gets a written review within 10 business days; lower severities are reviewed together each quarter. The review records the timeline, the root cause, and the changes that prevent a repeat. Every action has an owner and a due date, and feeds the risk register. Reviews look for causes, not blame.</w:t>
      </w:r>
    </w:p>
    <w:p>
      <w:pPr>
        <w:pStyle w:val="Heading2"/>
        <w:spacing w:after="100" w:before="280"/>
      </w:pPr>
      <w:r>
        <w:rPr>
          <w:rFonts w:ascii="Calibri" w:cs="Calibri" w:eastAsia="Calibri" w:hAnsi="Calibri"/>
          <w:color w:val="1F2933"/>
        </w:rPr>
        <w:t xml:space="preserve">10. Testing and maintenance</w:t>
      </w:r>
    </w:p>
    <w:p>
      <w:pPr>
        <w:spacing w:after="120" w:line="300"/>
      </w:pPr>
      <w:r>
        <w:rPr>
          <w:rFonts w:ascii="Calibri" w:cs="Calibri" w:eastAsia="Calibri" w:hAnsi="Calibri"/>
          <w:color w:val="1F2933"/>
          <w:sz w:val="22"/>
          <w:szCs w:val="22"/>
        </w:rPr>
        <w:t xml:space="preserve">Tested annually with a tabletop exercise, and again after any severity 1 incident. Contact lists verified quarterly. Owned by [role]. Approved by [name], [title], on [date]. Version [x.x].</w:t>
      </w:r>
    </w:p>
    <w:p>
      <w:pPr>
        <w:pBdr>
          <w:top w:val="single" w:color="C9D1D6" w:sz="6" w:space="8"/>
        </w:pBdr>
        <w:spacing w:after="120" w:before="360" w:line="300"/>
      </w:pPr>
      <w:r>
        <w:rPr>
          <w:rFonts w:ascii="Calibri" w:cs="Calibri" w:eastAsia="Calibri" w:hAnsi="Calibri"/>
          <w:color w:val="5B6770"/>
          <w:sz w:val="20"/>
          <w:szCs w:val="20"/>
        </w:rPr>
        <w:t xml:space="preserve">A plan alone is not an ISO 27001 incident response capability. An auditor also wants the incident records it produced and the improvements they drove. PolicyMint generates that full set, tailored to your business and checked before you see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b68aold1m5aazbcfbvjed">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68aold1m5aazbcfbvjed"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 Template</dc:title>
  <dc:creator>PolicyMint</dc:creator>
  <dc:description>Replace the bracketed placeholders with your own roles, channels and deadlines.</dc:description>
  <cp:lastModifiedBy>Un-named</cp:lastModifiedBy>
  <cp:revision>1</cp:revision>
  <dcterms:created xsi:type="dcterms:W3CDTF">2026-09-29T04:13:06.795Z</dcterms:created>
  <dcterms:modified xsi:type="dcterms:W3CDTF">2026-09-29T04:13:06.795Z</dcterms:modified>
</cp:coreProperties>
</file>

<file path=docProps/custom.xml><?xml version="1.0" encoding="utf-8"?>
<Properties xmlns="http://schemas.openxmlformats.org/officeDocument/2006/custom-properties" xmlns:vt="http://schemas.openxmlformats.org/officeDocument/2006/docPropsVTypes"/>
</file>