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Data Breach Response Plan - Template</w:t>
      </w:r>
    </w:p>
    <w:p>
      <w:pPr>
        <w:spacing w:after="120" w:line="300"/>
        <w:rPr>
          <w:i/>
          <w:iCs/>
          <w:color w:val="5B6770"/>
        </w:rPr>
      </w:pPr>
      <w:r>
        <w:rPr>
          <w:rFonts w:ascii="Calibri" w:cs="Calibri" w:eastAsia="Calibri" w:hAnsi="Calibri"/>
          <w:i/>
          <w:iCs/>
          <w:color w:val="5B6770"/>
          <w:sz w:val="22"/>
          <w:szCs w:val="22"/>
        </w:rPr>
        <w:t xml:space="preserve">A data breach response plan for Australian organisations covered by the Privacy Act 1988, built around the OAIC's four steps and the Notifiable Data Breaches scheme. Replace the bracketed placeholders with your own details.</w:t>
      </w:r>
    </w:p>
    <w:p>
      <w:pPr>
        <w:spacing w:after="200" w:before="120" w:line="300"/>
      </w:pPr>
      <w:r>
        <w:rPr>
          <w:rFonts w:ascii="Calibri" w:cs="Calibri" w:eastAsia="Calibri" w:hAnsi="Calibri"/>
          <w:color w:val="1F2933"/>
          <w:sz w:val="22"/>
          <w:szCs w:val="22"/>
        </w:rPr>
        <w:t xml:space="preserve">This plan sets out how [Organisation] responds when personal information it holds may have been accessed or disclosed without authorisation, or lost. Everyone who works for [Organisation] should know where to find it and what to do in the first hour.</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This plan covers every data breach involving personal information [Organisation] holds, including information held for us by service providers such as [our IT provider and cloud services]. It applies to all staff, contractors and volunteers.</w:t>
      </w:r>
    </w:p>
    <w:p>
      <w:pPr>
        <w:spacing w:after="120" w:line="300"/>
      </w:pPr>
      <w:r>
        <w:rPr>
          <w:rFonts w:ascii="Calibri" w:cs="Calibri" w:eastAsia="Calibri" w:hAnsi="Calibri"/>
          <w:color w:val="1F2933"/>
          <w:sz w:val="22"/>
          <w:szCs w:val="22"/>
        </w:rPr>
        <w:t xml:space="preserve">It works alongside [our cyber security incident response plan]. When an incident involves personal information, the response team follows this plan as well.</w:t>
      </w:r>
    </w:p>
    <w:p>
      <w:pPr>
        <w:pStyle w:val="Heading2"/>
        <w:spacing w:after="100" w:before="280"/>
      </w:pPr>
      <w:r>
        <w:rPr>
          <w:rFonts w:ascii="Calibri" w:cs="Calibri" w:eastAsia="Calibri" w:hAnsi="Calibri"/>
          <w:color w:val="1F2933"/>
        </w:rPr>
        <w:t xml:space="preserve">2. What counts as a data breach</w:t>
      </w:r>
    </w:p>
    <w:p>
      <w:pPr>
        <w:spacing w:after="120" w:line="300"/>
      </w:pPr>
      <w:r>
        <w:rPr>
          <w:rFonts w:ascii="Calibri" w:cs="Calibri" w:eastAsia="Calibri" w:hAnsi="Calibri"/>
          <w:color w:val="1F2933"/>
          <w:sz w:val="22"/>
          <w:szCs w:val="22"/>
        </w:rPr>
        <w:t xml:space="preserve">A data breach happens when personal information we hold is accessed or disclosed without authorisation, or is lost. For example: [an email with customer details sent to the wrong person], [a lost laptop or phone], or [a cyber attack on one of our systems].</w:t>
      </w:r>
    </w:p>
    <w:p>
      <w:pPr>
        <w:spacing w:after="120" w:line="300"/>
      </w:pPr>
      <w:r>
        <w:rPr>
          <w:rFonts w:ascii="Calibri" w:cs="Calibri" w:eastAsia="Calibri" w:hAnsi="Calibri"/>
          <w:color w:val="1F2933"/>
          <w:sz w:val="22"/>
          <w:szCs w:val="22"/>
        </w:rPr>
        <w:t xml:space="preserve">An eligible data breach is one a reasonable person would conclude is likely to result in serious harm to any of the people the information is about. If information is lost, it is one only where unauthorised access to or disclosure of it is likely; we then assume that happens and judge the harm on that basis. Unless remedial action means serious harm is no longer likely, an eligible data breach must be notified to the Australian Information Commissioner and to the people affected.</w:t>
      </w:r>
    </w:p>
    <w:p>
      <w:pPr>
        <w:spacing w:after="120" w:line="300"/>
      </w:pPr>
      <w:r>
        <w:rPr>
          <w:rFonts w:ascii="Calibri" w:cs="Calibri" w:eastAsia="Calibri" w:hAnsi="Calibri"/>
          <w:color w:val="1F2933"/>
          <w:sz w:val="22"/>
          <w:szCs w:val="22"/>
        </w:rPr>
        <w:t xml:space="preserve">If you are not sure whether something is a data breach, report it.</w:t>
      </w:r>
    </w:p>
    <w:p>
      <w:pPr>
        <w:pStyle w:val="Heading2"/>
        <w:spacing w:after="100" w:before="280"/>
      </w:pPr>
      <w:r>
        <w:rPr>
          <w:rFonts w:ascii="Calibri" w:cs="Calibri" w:eastAsia="Calibri" w:hAnsi="Calibri"/>
          <w:color w:val="1F2933"/>
        </w:rPr>
        <w:t xml:space="preserve">3. The response team</w:t>
      </w:r>
    </w:p>
    <w:p>
      <w:pPr>
        <w:spacing w:after="120" w:line="300"/>
      </w:pPr>
      <w:r>
        <w:rPr>
          <w:rFonts w:ascii="Calibri" w:cs="Calibri" w:eastAsia="Calibri" w:hAnsi="Calibri"/>
          <w:color w:val="1F2933"/>
          <w:sz w:val="22"/>
          <w:szCs w:val="22"/>
        </w:rPr>
        <w:t xml:space="preserve">The team lead decides who is involved in each breach and can call on outside help: [our IT provider], [our legal advisers] and [our cyber insurer, if we have one].</w:t>
      </w:r>
    </w:p>
    <w:p>
      <w:pPr>
        <w:spacing w:after="120" w:line="300"/>
      </w:pPr>
      <w:r>
        <w:rPr>
          <w:rFonts w:ascii="Calibri" w:cs="Calibri" w:eastAsia="Calibri" w:hAnsi="Calibri"/>
          <w:color w:val="1F2933"/>
          <w:sz w:val="22"/>
          <w:szCs w:val="22"/>
        </w:rPr>
        <w:t xml:space="preserve">When [the response team lead] is away or cannot be reached, [name and role, e.g. the Operations Manager] stands in, including for decisions on notification.</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Role</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Who</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Responsibilities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Response team lead</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and role, e.g. Managing Director]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Leads the response, decides whether to notify, and reports to [senior management]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Privacy officer</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and role, e.g. Office Manager]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Advises on the Privacy Act, keeps the records and prepares notifications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IT and security</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role or provider, e.g. our IT provider]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Contains the breach, preserves evidence and works out what was affected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Communications</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and role, e.g. Marketing Manager]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Prepares messages to the people affected and anyone else who needs to know</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Legal</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[internal or external adviser, e.g. our lawyers]</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Advises on legal obligations</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4. Reporting a suspected breach</w:t>
      </w:r>
    </w:p>
    <w:p>
      <w:pPr>
        <w:pStyle w:val="ListParagraph"/>
        <w:numPr>
          <w:ilvl w:val="0"/>
          <w:numId w:val="1"/>
        </w:numPr>
        <w:spacing w:after="60" w:line="280"/>
      </w:pPr>
      <w:r>
        <w:rPr>
          <w:rFonts w:ascii="Calibri" w:cs="Calibri" w:eastAsia="Calibri" w:hAnsi="Calibri"/>
          <w:color w:val="1F2933"/>
          <w:sz w:val="22"/>
          <w:szCs w:val="22"/>
        </w:rPr>
        <w:t xml:space="preserve">Tell [the response team lead] straight away by [phone number or channel], including outside business hours. If they cannot be reached, tell [the deputy] by [phone number or channel]</w:t>
      </w:r>
    </w:p>
    <w:p>
      <w:pPr>
        <w:pStyle w:val="ListParagraph"/>
        <w:numPr>
          <w:ilvl w:val="0"/>
          <w:numId w:val="1"/>
        </w:numPr>
        <w:spacing w:after="60" w:line="280"/>
      </w:pPr>
      <w:r>
        <w:rPr>
          <w:rFonts w:ascii="Calibri" w:cs="Calibri" w:eastAsia="Calibri" w:hAnsi="Calibri"/>
          <w:color w:val="1F2933"/>
          <w:sz w:val="22"/>
          <w:szCs w:val="22"/>
        </w:rPr>
        <w:t xml:space="preserve">Say what happened, when you noticed and what information may be involved</w:t>
      </w:r>
    </w:p>
    <w:p>
      <w:pPr>
        <w:pStyle w:val="ListParagraph"/>
        <w:numPr>
          <w:ilvl w:val="0"/>
          <w:numId w:val="1"/>
        </w:numPr>
        <w:spacing w:after="60" w:line="280"/>
      </w:pPr>
      <w:r>
        <w:rPr>
          <w:rFonts w:ascii="Calibri" w:cs="Calibri" w:eastAsia="Calibri" w:hAnsi="Calibri"/>
          <w:color w:val="1F2933"/>
          <w:sz w:val="22"/>
          <w:szCs w:val="22"/>
        </w:rPr>
        <w:t xml:space="preserve">Do not investigate it yourself, and do not delete anything</w:t>
      </w:r>
    </w:p>
    <w:p>
      <w:pPr>
        <w:pStyle w:val="ListParagraph"/>
        <w:numPr>
          <w:ilvl w:val="0"/>
          <w:numId w:val="1"/>
        </w:numPr>
        <w:spacing w:after="60" w:line="280"/>
      </w:pPr>
      <w:r>
        <w:rPr>
          <w:rFonts w:ascii="Calibri" w:cs="Calibri" w:eastAsia="Calibri" w:hAnsi="Calibri"/>
          <w:color w:val="1F2933"/>
          <w:sz w:val="22"/>
          <w:szCs w:val="22"/>
        </w:rPr>
        <w:t xml:space="preserve">The team lead records the report and decides whether to bring the response team together</w:t>
      </w:r>
    </w:p>
    <w:p>
      <w:pPr>
        <w:pStyle w:val="Heading2"/>
        <w:spacing w:after="100" w:before="280"/>
      </w:pPr>
      <w:r>
        <w:rPr>
          <w:rFonts w:ascii="Calibri" w:cs="Calibri" w:eastAsia="Calibri" w:hAnsi="Calibri"/>
          <w:color w:val="1F2933"/>
        </w:rPr>
        <w:t xml:space="preserve">5. Step 1: Contain</w:t>
      </w:r>
    </w:p>
    <w:p>
      <w:pPr>
        <w:spacing w:after="120" w:line="300"/>
      </w:pPr>
      <w:r>
        <w:rPr>
          <w:rFonts w:ascii="Calibri" w:cs="Calibri" w:eastAsia="Calibri" w:hAnsi="Calibri"/>
          <w:color w:val="1F2933"/>
          <w:sz w:val="22"/>
          <w:szCs w:val="22"/>
        </w:rPr>
        <w:t xml:space="preserve">Containment matters for the law as well as for the people affected. If remedial action means serious harm is no longer likely, the breach does not have to be notified.</w:t>
      </w:r>
    </w:p>
    <w:p>
      <w:pPr>
        <w:pStyle w:val="ListParagraph"/>
        <w:numPr>
          <w:ilvl w:val="0"/>
          <w:numId w:val="1"/>
        </w:numPr>
        <w:spacing w:after="60" w:line="280"/>
      </w:pPr>
      <w:r>
        <w:rPr>
          <w:rFonts w:ascii="Calibri" w:cs="Calibri" w:eastAsia="Calibri" w:hAnsi="Calibri"/>
          <w:color w:val="1F2933"/>
          <w:sz w:val="22"/>
          <w:szCs w:val="22"/>
        </w:rPr>
        <w:t xml:space="preserve">Stop the unauthorised access or disclosure: [change passwords, disconnect affected devices, remove access]</w:t>
      </w:r>
    </w:p>
    <w:p>
      <w:pPr>
        <w:pStyle w:val="ListParagraph"/>
        <w:numPr>
          <w:ilvl w:val="0"/>
          <w:numId w:val="1"/>
        </w:numPr>
        <w:spacing w:after="60" w:line="280"/>
      </w:pPr>
      <w:r>
        <w:rPr>
          <w:rFonts w:ascii="Calibri" w:cs="Calibri" w:eastAsia="Calibri" w:hAnsi="Calibri"/>
          <w:color w:val="1F2933"/>
          <w:sz w:val="22"/>
          <w:szCs w:val="22"/>
        </w:rPr>
        <w:t xml:space="preserve">Recover what you can: recall the email, ask an unintended recipient to delete it and confirm they have, retrieve a lost device or, where you can, wipe it remotely</w:t>
      </w:r>
    </w:p>
    <w:p>
      <w:pPr>
        <w:pStyle w:val="ListParagraph"/>
        <w:numPr>
          <w:ilvl w:val="0"/>
          <w:numId w:val="1"/>
        </w:numPr>
        <w:spacing w:after="60" w:line="280"/>
      </w:pPr>
      <w:r>
        <w:rPr>
          <w:rFonts w:ascii="Calibri" w:cs="Calibri" w:eastAsia="Calibri" w:hAnsi="Calibri"/>
          <w:color w:val="1F2933"/>
          <w:sz w:val="22"/>
          <w:szCs w:val="22"/>
        </w:rPr>
        <w:t xml:space="preserve">Preserve evidence: do not wipe devices or delete logs before IT has captured what it needs</w:t>
      </w:r>
    </w:p>
    <w:p>
      <w:pPr>
        <w:pStyle w:val="ListParagraph"/>
        <w:numPr>
          <w:ilvl w:val="0"/>
          <w:numId w:val="1"/>
        </w:numPr>
        <w:spacing w:after="60" w:line="280"/>
      </w:pPr>
      <w:r>
        <w:rPr>
          <w:rFonts w:ascii="Calibri" w:cs="Calibri" w:eastAsia="Calibri" w:hAnsi="Calibri"/>
          <w:color w:val="1F2933"/>
          <w:sz w:val="22"/>
          <w:szCs w:val="22"/>
        </w:rPr>
        <w:t xml:space="preserve">Record every action and when it was taken</w:t>
      </w:r>
    </w:p>
    <w:p>
      <w:pPr>
        <w:pStyle w:val="Heading2"/>
        <w:spacing w:after="100" w:before="280"/>
      </w:pPr>
      <w:r>
        <w:rPr>
          <w:rFonts w:ascii="Calibri" w:cs="Calibri" w:eastAsia="Calibri" w:hAnsi="Calibri"/>
          <w:color w:val="1F2933"/>
        </w:rPr>
        <w:t xml:space="preserve">6. Step 2: Assess</w:t>
      </w:r>
    </w:p>
    <w:p>
      <w:pPr>
        <w:spacing w:after="120" w:line="300"/>
      </w:pPr>
      <w:r>
        <w:rPr>
          <w:rFonts w:ascii="Calibri" w:cs="Calibri" w:eastAsia="Calibri" w:hAnsi="Calibri"/>
          <w:color w:val="1F2933"/>
          <w:sz w:val="22"/>
          <w:szCs w:val="22"/>
        </w:rPr>
        <w:t xml:space="preserve">If there are reasonable grounds to suspect there may have been an eligible data breach, we must carry out a reasonable and expeditious assessment of whether it is one, and take all reasonable steps to complete that assessment within 30 days of becoming aware of the suspicion.</w:t>
      </w:r>
    </w:p>
    <w:p>
      <w:pPr>
        <w:pStyle w:val="ListParagraph"/>
        <w:numPr>
          <w:ilvl w:val="0"/>
          <w:numId w:val="1"/>
        </w:numPr>
        <w:spacing w:after="60" w:line="280"/>
      </w:pPr>
      <w:r>
        <w:rPr>
          <w:rFonts w:ascii="Calibri" w:cs="Calibri" w:eastAsia="Calibri" w:hAnsi="Calibri"/>
          <w:color w:val="1F2933"/>
          <w:sz w:val="22"/>
          <w:szCs w:val="22"/>
        </w:rPr>
        <w:t xml:space="preserve">Gather the facts: what happened, what information was involved, whose, how many people, and who has it or could get it</w:t>
      </w:r>
    </w:p>
    <w:p>
      <w:pPr>
        <w:pStyle w:val="ListParagraph"/>
        <w:numPr>
          <w:ilvl w:val="0"/>
          <w:numId w:val="1"/>
        </w:numPr>
        <w:spacing w:after="60" w:line="280"/>
      </w:pPr>
      <w:r>
        <w:rPr>
          <w:rFonts w:ascii="Calibri" w:cs="Calibri" w:eastAsia="Calibri" w:hAnsi="Calibri"/>
          <w:color w:val="1F2933"/>
          <w:sz w:val="22"/>
          <w:szCs w:val="22"/>
        </w:rPr>
        <w:t xml:space="preserve">Judge whether serious harm is likely, considering the kind and sensitivity of the information, whether it was protected (for example encrypted), who has it and the harm that could follow</w:t>
      </w:r>
    </w:p>
    <w:p>
      <w:pPr>
        <w:pStyle w:val="ListParagraph"/>
        <w:numPr>
          <w:ilvl w:val="0"/>
          <w:numId w:val="1"/>
        </w:numPr>
        <w:spacing w:after="60" w:line="280"/>
      </w:pPr>
      <w:r>
        <w:rPr>
          <w:rFonts w:ascii="Calibri" w:cs="Calibri" w:eastAsia="Calibri" w:hAnsi="Calibri"/>
          <w:color w:val="1F2933"/>
          <w:sz w:val="22"/>
          <w:szCs w:val="22"/>
        </w:rPr>
        <w:t xml:space="preserve">Record the decision, the reasons and who made it: [the response team lead]</w:t>
      </w:r>
    </w:p>
    <w:p>
      <w:pPr>
        <w:pStyle w:val="ListParagraph"/>
        <w:numPr>
          <w:ilvl w:val="0"/>
          <w:numId w:val="1"/>
        </w:numPr>
        <w:spacing w:after="60" w:line="280"/>
      </w:pPr>
      <w:r>
        <w:rPr>
          <w:rFonts w:ascii="Calibri" w:cs="Calibri" w:eastAsia="Calibri" w:hAnsi="Calibri"/>
          <w:color w:val="1F2933"/>
          <w:sz w:val="22"/>
          <w:szCs w:val="22"/>
        </w:rPr>
        <w:t xml:space="preserve">If another organisation holds the same information, agree with it who will assess the breach; one assessment can cover both</w:t>
      </w:r>
    </w:p>
    <w:p>
      <w:pPr>
        <w:pStyle w:val="Heading2"/>
        <w:spacing w:after="100" w:before="280"/>
      </w:pPr>
      <w:r>
        <w:rPr>
          <w:rFonts w:ascii="Calibri" w:cs="Calibri" w:eastAsia="Calibri" w:hAnsi="Calibri"/>
          <w:color w:val="1F2933"/>
        </w:rPr>
        <w:t xml:space="preserve">7. Step 3: Notify</w:t>
      </w:r>
    </w:p>
    <w:p>
      <w:pPr>
        <w:spacing w:after="120" w:line="300"/>
      </w:pPr>
      <w:r>
        <w:rPr>
          <w:rFonts w:ascii="Calibri" w:cs="Calibri" w:eastAsia="Calibri" w:hAnsi="Calibri"/>
          <w:color w:val="1F2933"/>
          <w:sz w:val="22"/>
          <w:szCs w:val="22"/>
        </w:rPr>
        <w:t xml:space="preserve">If there are reasonable grounds to believe an eligible data breach has happened, we must prepare a statement and give a copy to the Australian Information Commissioner as soon as practicable. The statement sets out our identity and contact details, a description of the breach, the kinds of information involved, and the steps we recommend the people affected take.</w:t>
      </w:r>
    </w:p>
    <w:p>
      <w:pPr>
        <w:spacing w:after="120" w:line="300"/>
      </w:pPr>
      <w:r>
        <w:rPr>
          <w:rFonts w:ascii="Calibri" w:cs="Calibri" w:eastAsia="Calibri" w:hAnsi="Calibri"/>
          <w:color w:val="1F2933"/>
          <w:sz w:val="22"/>
          <w:szCs w:val="22"/>
        </w:rPr>
        <w:t xml:space="preserve">As soon as practicable after preparing the statement, we tell the people affected: either everyone whose information was involved, or only those at risk of serious harm. If neither is practicable, we publish the statement on our website and take reasonable steps to publicise it. We can use the channel we normally use with each person, such as email.</w:t>
      </w:r>
    </w:p>
    <w:p>
      <w:pPr>
        <w:spacing w:after="120" w:line="300"/>
      </w:pPr>
      <w:r>
        <w:rPr>
          <w:rFonts w:ascii="Calibri" w:cs="Calibri" w:eastAsia="Calibri" w:hAnsi="Calibri"/>
          <w:color w:val="1F2933"/>
          <w:sz w:val="22"/>
          <w:szCs w:val="22"/>
        </w:rPr>
        <w:t xml:space="preserve">[The response team lead] approves every notification before it is sent. If another organisation holds the same information and gives the statement, we do not have to give one as well. If the Commissioner directs us to notify, we follow the direction. The team lead decides whether anyone else should be told, such as [our insurer, the police or our bank].</w:t>
      </w:r>
    </w:p>
    <w:p>
      <w:pPr>
        <w:pStyle w:val="Heading2"/>
        <w:spacing w:after="100" w:before="280"/>
      </w:pPr>
      <w:r>
        <w:rPr>
          <w:rFonts w:ascii="Calibri" w:cs="Calibri" w:eastAsia="Calibri" w:hAnsi="Calibri"/>
          <w:color w:val="1F2933"/>
        </w:rPr>
        <w:t xml:space="preserve">8. Step 4: Review</w:t>
      </w:r>
    </w:p>
    <w:p>
      <w:pPr>
        <w:pStyle w:val="ListParagraph"/>
        <w:numPr>
          <w:ilvl w:val="0"/>
          <w:numId w:val="1"/>
        </w:numPr>
        <w:spacing w:after="60" w:line="280"/>
      </w:pPr>
      <w:r>
        <w:rPr>
          <w:rFonts w:ascii="Calibri" w:cs="Calibri" w:eastAsia="Calibri" w:hAnsi="Calibri"/>
          <w:color w:val="1F2933"/>
          <w:sz w:val="22"/>
          <w:szCs w:val="22"/>
        </w:rPr>
        <w:t xml:space="preserve">Work out what caused the breach and how well the response worked</w:t>
      </w:r>
    </w:p>
    <w:p>
      <w:pPr>
        <w:pStyle w:val="ListParagraph"/>
        <w:numPr>
          <w:ilvl w:val="0"/>
          <w:numId w:val="1"/>
        </w:numPr>
        <w:spacing w:after="60" w:line="280"/>
      </w:pPr>
      <w:r>
        <w:rPr>
          <w:rFonts w:ascii="Calibri" w:cs="Calibri" w:eastAsia="Calibri" w:hAnsi="Calibri"/>
          <w:color w:val="1F2933"/>
          <w:sz w:val="22"/>
          <w:szCs w:val="22"/>
        </w:rPr>
        <w:t xml:space="preserve">Decide what changes will stop it happening again, each with an owner and a due date</w:t>
      </w:r>
    </w:p>
    <w:p>
      <w:pPr>
        <w:pStyle w:val="ListParagraph"/>
        <w:numPr>
          <w:ilvl w:val="0"/>
          <w:numId w:val="1"/>
        </w:numPr>
        <w:spacing w:after="60" w:line="280"/>
      </w:pPr>
      <w:r>
        <w:rPr>
          <w:rFonts w:ascii="Calibri" w:cs="Calibri" w:eastAsia="Calibri" w:hAnsi="Calibri"/>
          <w:color w:val="1F2933"/>
          <w:sz w:val="22"/>
          <w:szCs w:val="22"/>
        </w:rPr>
        <w:t xml:space="preserve">Report the review to [senior management] and keep it with the breach record</w:t>
      </w:r>
    </w:p>
    <w:p>
      <w:pPr>
        <w:pStyle w:val="Heading2"/>
        <w:spacing w:after="100" w:before="280"/>
      </w:pPr>
      <w:r>
        <w:rPr>
          <w:rFonts w:ascii="Calibri" w:cs="Calibri" w:eastAsia="Calibri" w:hAnsi="Calibri"/>
          <w:color w:val="1F2933"/>
        </w:rPr>
        <w:t xml:space="preserve">9. Records, testing and review of this plan</w:t>
      </w:r>
    </w:p>
    <w:p>
      <w:pPr>
        <w:pStyle w:val="ListParagraph"/>
        <w:numPr>
          <w:ilvl w:val="0"/>
          <w:numId w:val="1"/>
        </w:numPr>
        <w:spacing w:after="60" w:line="280"/>
      </w:pPr>
      <w:r>
        <w:rPr>
          <w:rFonts w:ascii="Calibri" w:cs="Calibri" w:eastAsia="Calibri" w:hAnsi="Calibri"/>
          <w:color w:val="1F2933"/>
          <w:sz w:val="22"/>
          <w:szCs w:val="22"/>
        </w:rPr>
        <w:t xml:space="preserve">Record every data breach and suspected breach in [our data breach register], including the assessment, the decision and whether we notified</w:t>
      </w:r>
    </w:p>
    <w:p>
      <w:pPr>
        <w:pStyle w:val="ListParagraph"/>
        <w:numPr>
          <w:ilvl w:val="0"/>
          <w:numId w:val="1"/>
        </w:numPr>
        <w:spacing w:after="60" w:line="280"/>
      </w:pPr>
      <w:r>
        <w:rPr>
          <w:rFonts w:ascii="Calibri" w:cs="Calibri" w:eastAsia="Calibri" w:hAnsi="Calibri"/>
          <w:color w:val="1F2933"/>
          <w:sz w:val="22"/>
          <w:szCs w:val="22"/>
        </w:rPr>
        <w:t xml:space="preserve">Test this plan [once a year] with a practice scenario</w:t>
      </w:r>
    </w:p>
    <w:p>
      <w:pPr>
        <w:pStyle w:val="ListParagraph"/>
        <w:numPr>
          <w:ilvl w:val="0"/>
          <w:numId w:val="1"/>
        </w:numPr>
        <w:spacing w:after="60" w:line="280"/>
      </w:pPr>
      <w:r>
        <w:rPr>
          <w:rFonts w:ascii="Calibri" w:cs="Calibri" w:eastAsia="Calibri" w:hAnsi="Calibri"/>
          <w:color w:val="1F2933"/>
          <w:sz w:val="22"/>
          <w:szCs w:val="22"/>
        </w:rPr>
        <w:t xml:space="preserve">Review this plan [at least once a year] and after any significant breach. Owner: [role]</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advice. Replace every bracketed placeholder, delete what does not apply, and have it approved before you rely on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_utd1bn-efzmqkmmkuqa2">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td1bn-efzmqkmmkuqa2"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Breach Response Plan - Template</dc:title>
  <dc:creator>PolicyMint</dc:creator>
  <dc:description>A data breach response plan for Australian organisations covered by the Privacy Act 1988, built around the OAIC's four steps and the Notifiable Data Breaches scheme. Replace the bracketed placeholders with your own details.</dc:description>
  <cp:lastModifiedBy>Un-named</cp:lastModifiedBy>
  <cp:revision>1</cp:revision>
  <dcterms:created xsi:type="dcterms:W3CDTF">2026-10-16T00:09:00.310Z</dcterms:created>
  <dcterms:modified xsi:type="dcterms:W3CDTF">2026-10-16T00:09:00.310Z</dcterms:modified>
</cp:coreProperties>
</file>

<file path=docProps/custom.xml><?xml version="1.0" encoding="utf-8"?>
<Properties xmlns="http://schemas.openxmlformats.org/officeDocument/2006/custom-properties" xmlns:vt="http://schemas.openxmlformats.org/officeDocument/2006/docPropsVTypes"/>
</file>