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Cloud Security Policy - Template</w:t>
      </w:r>
    </w:p>
    <w:p>
      <w:pPr>
        <w:spacing w:after="120" w:line="300"/>
        <w:rPr>
          <w:i/>
          <w:iCs/>
          <w:color w:val="5B6770"/>
        </w:rPr>
      </w:pPr>
      <w:r>
        <w:rPr>
          <w:rFonts w:ascii="Calibri" w:cs="Calibri" w:eastAsia="Calibri" w:hAnsi="Calibri"/>
          <w:i/>
          <w:iCs/>
          <w:color w:val="5B6770"/>
          <w:sz w:val="22"/>
          <w:szCs w:val="22"/>
        </w:rPr>
        <w:t xml:space="preserve">An editable cloud security policy. Replace the bracketed placeholders with your own details.</w:t>
      </w:r>
    </w:p>
    <w:p>
      <w:pPr>
        <w:spacing w:after="200" w:before="120" w:line="300"/>
      </w:pPr>
      <w:r>
        <w:rPr>
          <w:rFonts w:ascii="Calibri" w:cs="Calibri" w:eastAsia="Calibri" w:hAnsi="Calibri"/>
          <w:color w:val="1F2933"/>
          <w:sz w:val="22"/>
          <w:szCs w:val="22"/>
        </w:rPr>
        <w:t xml:space="preserve">[Organization] runs on cloud services. This policy sets out how those services are approved, configured, monitored and exited, and who is accountable at each step. It exists to make cloud adoption safe and repeatable, not to prevent it.</w:t>
      </w:r>
    </w:p>
    <w:p>
      <w:pPr>
        <w:pStyle w:val="Heading2"/>
        <w:spacing w:after="100" w:before="280"/>
      </w:pPr>
      <w:r>
        <w:rPr>
          <w:rFonts w:ascii="Calibri" w:cs="Calibri" w:eastAsia="Calibri" w:hAnsi="Calibri"/>
          <w:color w:val="1F2933"/>
        </w:rPr>
        <w:t xml:space="preserve">1. Purpose</w:t>
      </w:r>
    </w:p>
    <w:p>
      <w:pPr>
        <w:spacing w:after="120" w:line="300"/>
      </w:pPr>
      <w:r>
        <w:rPr>
          <w:rFonts w:ascii="Calibri" w:cs="Calibri" w:eastAsia="Calibri" w:hAnsi="Calibri"/>
          <w:color w:val="1F2933"/>
          <w:sz w:val="22"/>
          <w:szCs w:val="22"/>
        </w:rPr>
        <w:t xml:space="preserve">This policy sets the rules for how [Organization] selects, approves, configures and monitors cloud services, so that the business can adopt them quickly without losing control of its information.</w:t>
      </w:r>
    </w:p>
    <w:p>
      <w:pPr>
        <w:spacing w:after="120" w:line="300"/>
      </w:pPr>
      <w:r>
        <w:rPr>
          <w:rFonts w:ascii="Calibri" w:cs="Calibri" w:eastAsia="Calibri" w:hAnsi="Calibri"/>
          <w:color w:val="1F2933"/>
          <w:sz w:val="22"/>
          <w:szCs w:val="22"/>
        </w:rPr>
        <w:t xml:space="preserve">It applies whether a service is paid for, free, trialled or inherited through an acquisition.</w:t>
      </w:r>
    </w:p>
    <w:p>
      <w:pPr>
        <w:pStyle w:val="Heading2"/>
        <w:spacing w:after="100" w:before="280"/>
      </w:pPr>
      <w:r>
        <w:rPr>
          <w:rFonts w:ascii="Calibri" w:cs="Calibri" w:eastAsia="Calibri" w:hAnsi="Calibri"/>
          <w:color w:val="1F2933"/>
        </w:rPr>
        <w:t xml:space="preserve">2. Scope</w:t>
      </w:r>
    </w:p>
    <w:p>
      <w:pPr>
        <w:spacing w:after="120" w:line="300"/>
      </w:pPr>
      <w:r>
        <w:rPr>
          <w:rFonts w:ascii="Calibri" w:cs="Calibri" w:eastAsia="Calibri" w:hAnsi="Calibri"/>
          <w:color w:val="1F2933"/>
          <w:sz w:val="22"/>
          <w:szCs w:val="22"/>
        </w:rPr>
        <w:t xml:space="preserve">This policy covers every cloud service model in use at [Organization] - software as a service, platform as a service and infrastructure as a service - and every environment, including development and test.</w:t>
      </w:r>
    </w:p>
    <w:p>
      <w:pPr>
        <w:spacing w:after="120" w:line="300"/>
      </w:pPr>
      <w:r>
        <w:rPr>
          <w:rFonts w:ascii="Calibri" w:cs="Calibri" w:eastAsia="Calibri" w:hAnsi="Calibri"/>
          <w:color w:val="1F2933"/>
          <w:sz w:val="22"/>
          <w:szCs w:val="22"/>
        </w:rPr>
        <w:t xml:space="preserve">It applies to everyone who buys, builds on, connects to or administers a cloud service on behalf of [Organization], including contractors. Free tiers and trials are in scope.</w:t>
      </w:r>
    </w:p>
    <w:p>
      <w:pPr>
        <w:pStyle w:val="Heading2"/>
        <w:spacing w:after="100" w:before="280"/>
      </w:pPr>
      <w:r>
        <w:rPr>
          <w:rFonts w:ascii="Calibri" w:cs="Calibri" w:eastAsia="Calibri" w:hAnsi="Calibri"/>
          <w:color w:val="1F2933"/>
        </w:rPr>
        <w:t xml:space="preserve">3. Roles and the shared responsibility model</w:t>
      </w:r>
    </w:p>
    <w:p>
      <w:pPr>
        <w:spacing w:after="120" w:line="300"/>
      </w:pPr>
      <w:r>
        <w:rPr>
          <w:rFonts w:ascii="Calibri" w:cs="Calibri" w:eastAsia="Calibri" w:hAnsi="Calibri"/>
          <w:color w:val="1F2933"/>
          <w:sz w:val="22"/>
          <w:szCs w:val="22"/>
        </w:rPr>
        <w:t xml:space="preserve">[Organization] uses cloud services under a shared responsibility model. The provider is responsible for the security of the service itself; [Organization] remains responsible for everything it configures and puts into the service, including user accounts and access, security settings, integrations, and the data stored or processed there. Accountability for [Organization]'s information cannot be transferred to a provider, whatever the contract says.</w:t>
      </w:r>
    </w:p>
    <w:p>
      <w:pPr>
        <w:spacing w:after="120" w:line="300"/>
      </w:pPr>
      <w:r>
        <w:rPr>
          <w:rFonts w:ascii="Calibri" w:cs="Calibri" w:eastAsia="Calibri" w:hAnsi="Calibri"/>
          <w:color w:val="1F2933"/>
          <w:sz w:val="22"/>
          <w:szCs w:val="22"/>
        </w:rPr>
        <w:t xml:space="preserve">[role] owns this policy and the cloud service register. Each service has a named business owner recorded in the register.</w:t>
      </w:r>
    </w:p>
    <w:p>
      <w:pPr>
        <w:pStyle w:val="Heading2"/>
        <w:spacing w:after="100" w:before="280"/>
      </w:pPr>
      <w:r>
        <w:rPr>
          <w:rFonts w:ascii="Calibri" w:cs="Calibri" w:eastAsia="Calibri" w:hAnsi="Calibri"/>
          <w:color w:val="1F2933"/>
        </w:rPr>
        <w:t xml:space="preserve">4. Approved services and the cloud service register</w:t>
      </w:r>
    </w:p>
    <w:p>
      <w:pPr>
        <w:spacing w:after="120" w:line="300"/>
      </w:pPr>
      <w:r>
        <w:rPr>
          <w:rFonts w:ascii="Calibri" w:cs="Calibri" w:eastAsia="Calibri" w:hAnsi="Calibri"/>
          <w:color w:val="1F2933"/>
          <w:sz w:val="22"/>
          <w:szCs w:val="22"/>
        </w:rPr>
        <w:t xml:space="preserve">[Organization] maintains a cloud service register. For each service it records the service name, its business owner, the classification of information it holds, the region that information is stored in, and the date it was approved.</w:t>
      </w:r>
    </w:p>
    <w:p>
      <w:pPr>
        <w:spacing w:after="120" w:line="300"/>
      </w:pPr>
      <w:r>
        <w:rPr>
          <w:rFonts w:ascii="Calibri" w:cs="Calibri" w:eastAsia="Calibri" w:hAnsi="Calibri"/>
          <w:color w:val="1F2933"/>
          <w:sz w:val="22"/>
          <w:szCs w:val="22"/>
        </w:rPr>
        <w:t xml:space="preserve">[role] owns the register and reviews it [quarterly]. New entries are triggered by supplier onboarding, expense review and single sign-on logs.</w:t>
      </w:r>
    </w:p>
    <w:p>
      <w:pPr>
        <w:pStyle w:val="Heading2"/>
        <w:spacing w:after="100" w:before="280"/>
      </w:pPr>
      <w:r>
        <w:rPr>
          <w:rFonts w:ascii="Calibri" w:cs="Calibri" w:eastAsia="Calibri" w:hAnsi="Calibri"/>
          <w:color w:val="1F2933"/>
        </w:rPr>
        <w:t xml:space="preserve">5. Approving a new cloud service</w:t>
      </w:r>
    </w:p>
    <w:p>
      <w:pPr>
        <w:spacing w:after="120" w:line="300"/>
      </w:pPr>
      <w:r>
        <w:rPr>
          <w:rFonts w:ascii="Calibri" w:cs="Calibri" w:eastAsia="Calibri" w:hAnsi="Calibri"/>
          <w:color w:val="1F2933"/>
          <w:sz w:val="22"/>
          <w:szCs w:val="22"/>
        </w:rPr>
        <w:t xml:space="preserve">Staff must not sign up for, connect or pay for a new cloud service on behalf of [Organization] without approval from [role]. This includes free tiers, trials and AI tools, and it includes connecting a new app to an approved service. Approved services are recorded in the cloud service register; anything not in the register is not approved. If a service you need is missing, request it; approval normally takes [n] business days.</w:t>
      </w:r>
    </w:p>
    <w:p>
      <w:pPr>
        <w:pStyle w:val="ListParagraph"/>
        <w:numPr>
          <w:ilvl w:val="0"/>
          <w:numId w:val="1"/>
        </w:numPr>
        <w:spacing w:after="60" w:line="280"/>
      </w:pPr>
      <w:r>
        <w:rPr>
          <w:rFonts w:ascii="Calibri" w:cs="Calibri" w:eastAsia="Calibri" w:hAnsi="Calibri"/>
          <w:color w:val="1F2933"/>
          <w:sz w:val="22"/>
          <w:szCs w:val="22"/>
        </w:rPr>
        <w:t xml:space="preserve">Security certifications or audit reports held by the provider</w:t>
      </w:r>
    </w:p>
    <w:p>
      <w:pPr>
        <w:pStyle w:val="ListParagraph"/>
        <w:numPr>
          <w:ilvl w:val="0"/>
          <w:numId w:val="1"/>
        </w:numPr>
        <w:spacing w:after="60" w:line="280"/>
      </w:pPr>
      <w:r>
        <w:rPr>
          <w:rFonts w:ascii="Calibri" w:cs="Calibri" w:eastAsia="Calibri" w:hAnsi="Calibri"/>
          <w:color w:val="1F2933"/>
          <w:sz w:val="22"/>
          <w:szCs w:val="22"/>
        </w:rPr>
        <w:t xml:space="preserve">Where the data will be stored and processed</w:t>
      </w:r>
    </w:p>
    <w:p>
      <w:pPr>
        <w:pStyle w:val="ListParagraph"/>
        <w:numPr>
          <w:ilvl w:val="0"/>
          <w:numId w:val="1"/>
        </w:numPr>
        <w:spacing w:after="60" w:line="280"/>
      </w:pPr>
      <w:r>
        <w:rPr>
          <w:rFonts w:ascii="Calibri" w:cs="Calibri" w:eastAsia="Calibri" w:hAnsi="Calibri"/>
          <w:color w:val="1F2933"/>
          <w:sz w:val="22"/>
          <w:szCs w:val="22"/>
        </w:rPr>
        <w:t xml:space="preserve">The contractual terms, including breach notification and exit</w:t>
      </w:r>
    </w:p>
    <w:p>
      <w:pPr>
        <w:pStyle w:val="ListParagraph"/>
        <w:numPr>
          <w:ilvl w:val="0"/>
          <w:numId w:val="1"/>
        </w:numPr>
        <w:spacing w:after="60" w:line="280"/>
      </w:pPr>
      <w:r>
        <w:rPr>
          <w:rFonts w:ascii="Calibri" w:cs="Calibri" w:eastAsia="Calibri" w:hAnsi="Calibri"/>
          <w:color w:val="1F2933"/>
          <w:sz w:val="22"/>
          <w:szCs w:val="22"/>
        </w:rPr>
        <w:t xml:space="preserve">Any sub-processors the provider relies on</w:t>
      </w:r>
    </w:p>
    <w:p>
      <w:pPr>
        <w:pStyle w:val="Heading2"/>
        <w:spacing w:after="100" w:before="280"/>
      </w:pPr>
      <w:r>
        <w:rPr>
          <w:rFonts w:ascii="Calibri" w:cs="Calibri" w:eastAsia="Calibri" w:hAnsi="Calibri"/>
          <w:color w:val="1F2933"/>
        </w:rPr>
        <w:t xml:space="preserve">6. Accounts, access and administrators</w:t>
      </w:r>
    </w:p>
    <w:p>
      <w:pPr>
        <w:pStyle w:val="ListParagraph"/>
        <w:numPr>
          <w:ilvl w:val="0"/>
          <w:numId w:val="1"/>
        </w:numPr>
        <w:spacing w:after="60" w:line="280"/>
      </w:pPr>
      <w:r>
        <w:rPr>
          <w:rFonts w:ascii="Calibri" w:cs="Calibri" w:eastAsia="Calibri" w:hAnsi="Calibri"/>
          <w:color w:val="1F2933"/>
          <w:sz w:val="22"/>
          <w:szCs w:val="22"/>
        </w:rPr>
        <w:t xml:space="preserve">Single sign-on is used wherever the service supports it</w:t>
      </w:r>
    </w:p>
    <w:p>
      <w:pPr>
        <w:pStyle w:val="ListParagraph"/>
        <w:numPr>
          <w:ilvl w:val="0"/>
          <w:numId w:val="1"/>
        </w:numPr>
        <w:spacing w:after="60" w:line="280"/>
      </w:pPr>
      <w:r>
        <w:rPr>
          <w:rFonts w:ascii="Calibri" w:cs="Calibri" w:eastAsia="Calibri" w:hAnsi="Calibri"/>
          <w:color w:val="1F2933"/>
          <w:sz w:val="22"/>
          <w:szCs w:val="22"/>
        </w:rPr>
        <w:t xml:space="preserve">Multi-factor authentication is required on every cloud service, without exception</w:t>
      </w:r>
    </w:p>
    <w:p>
      <w:pPr>
        <w:pStyle w:val="ListParagraph"/>
        <w:numPr>
          <w:ilvl w:val="0"/>
          <w:numId w:val="1"/>
        </w:numPr>
        <w:spacing w:after="60" w:line="280"/>
      </w:pPr>
      <w:r>
        <w:rPr>
          <w:rFonts w:ascii="Calibri" w:cs="Calibri" w:eastAsia="Calibri" w:hAnsi="Calibri"/>
          <w:color w:val="1F2933"/>
          <w:sz w:val="22"/>
          <w:szCs w:val="22"/>
        </w:rPr>
        <w:t xml:space="preserve">Access is granted on a least-privilege basis and reviewed [quarterly]</w:t>
      </w:r>
    </w:p>
    <w:p>
      <w:pPr>
        <w:pStyle w:val="ListParagraph"/>
        <w:numPr>
          <w:ilvl w:val="0"/>
          <w:numId w:val="1"/>
        </w:numPr>
        <w:spacing w:after="60" w:line="280"/>
      </w:pPr>
      <w:r>
        <w:rPr>
          <w:rFonts w:ascii="Calibri" w:cs="Calibri" w:eastAsia="Calibri" w:hAnsi="Calibri"/>
          <w:color w:val="1F2933"/>
          <w:sz w:val="22"/>
          <w:szCs w:val="22"/>
        </w:rPr>
        <w:t xml:space="preserve">Administrators are named individuals; shared or generic administrator accounts are not permitted</w:t>
      </w:r>
    </w:p>
    <w:p>
      <w:pPr>
        <w:pStyle w:val="ListParagraph"/>
        <w:numPr>
          <w:ilvl w:val="0"/>
          <w:numId w:val="1"/>
        </w:numPr>
        <w:spacing w:after="60" w:line="280"/>
      </w:pPr>
      <w:r>
        <w:rPr>
          <w:rFonts w:ascii="Calibri" w:cs="Calibri" w:eastAsia="Calibri" w:hAnsi="Calibri"/>
          <w:color w:val="1F2933"/>
          <w:sz w:val="22"/>
          <w:szCs w:val="22"/>
        </w:rPr>
        <w:t xml:space="preserve">Access is removed on the leaver's last working day</w:t>
      </w:r>
    </w:p>
    <w:p>
      <w:pPr>
        <w:pStyle w:val="Heading2"/>
        <w:spacing w:after="100" w:before="280"/>
      </w:pPr>
      <w:r>
        <w:rPr>
          <w:rFonts w:ascii="Calibri" w:cs="Calibri" w:eastAsia="Calibri" w:hAnsi="Calibri"/>
          <w:color w:val="1F2933"/>
        </w:rPr>
        <w:t xml:space="preserve">7. Data protection and residency</w:t>
      </w:r>
    </w:p>
    <w:p>
      <w:pPr>
        <w:spacing w:after="120" w:line="300"/>
      </w:pPr>
      <w:r>
        <w:rPr>
          <w:rFonts w:ascii="Calibri" w:cs="Calibri" w:eastAsia="Calibri" w:hAnsi="Calibri"/>
          <w:color w:val="1F2933"/>
          <w:sz w:val="22"/>
          <w:szCs w:val="22"/>
        </w:rPr>
        <w:t xml:space="preserve">[Organization]'s data may only be stored or processed in the regions recorded in the cloud service register for that service. Where a provider offers a choice of region, [role] selects it before the service goes live and records it. Services that cannot commit to a storage location may not hold [confidential or restricted] information.</w:t>
      </w:r>
    </w:p>
    <w:p>
      <w:pPr>
        <w:spacing w:after="120" w:line="300"/>
      </w:pPr>
      <w:r>
        <w:rPr>
          <w:rFonts w:ascii="Calibri" w:cs="Calibri" w:eastAsia="Calibri" w:hAnsi="Calibri"/>
          <w:color w:val="1F2933"/>
          <w:sz w:val="22"/>
          <w:szCs w:val="22"/>
        </w:rPr>
        <w:t xml:space="preserve">Data is encrypted in transit and at rest. Where a service offers customer-managed keys, [role] decides whether to use them and records the decision.</w:t>
      </w:r>
    </w:p>
    <w:p>
      <w:pPr>
        <w:pStyle w:val="Heading2"/>
        <w:spacing w:after="100" w:before="280"/>
      </w:pPr>
      <w:r>
        <w:rPr>
          <w:rFonts w:ascii="Calibri" w:cs="Calibri" w:eastAsia="Calibri" w:hAnsi="Calibri"/>
          <w:color w:val="1F2933"/>
        </w:rPr>
        <w:t xml:space="preserve">8. Secure configuration and change</w:t>
      </w:r>
    </w:p>
    <w:p>
      <w:pPr>
        <w:spacing w:after="120" w:line="300"/>
      </w:pPr>
      <w:r>
        <w:rPr>
          <w:rFonts w:ascii="Calibri" w:cs="Calibri" w:eastAsia="Calibri" w:hAnsi="Calibri"/>
          <w:color w:val="1F2933"/>
          <w:sz w:val="22"/>
          <w:szCs w:val="22"/>
        </w:rPr>
        <w:t xml:space="preserve">[Organization] maintains a documented baseline configuration for each major cloud platform it uses. Changes to security settings are made only by named administrators and are recorded.</w:t>
      </w:r>
    </w:p>
    <w:p>
      <w:pPr>
        <w:spacing w:after="120" w:line="300"/>
      </w:pPr>
      <w:r>
        <w:rPr>
          <w:rFonts w:ascii="Calibri" w:cs="Calibri" w:eastAsia="Calibri" w:hAnsi="Calibri"/>
          <w:color w:val="1F2933"/>
          <w:sz w:val="22"/>
          <w:szCs w:val="22"/>
        </w:rPr>
        <w:t xml:space="preserve">[role] checks the live configuration against the baseline [quarterly] and records the result.</w:t>
      </w:r>
    </w:p>
    <w:p>
      <w:pPr>
        <w:pStyle w:val="Heading2"/>
        <w:spacing w:after="100" w:before="280"/>
      </w:pPr>
      <w:r>
        <w:rPr>
          <w:rFonts w:ascii="Calibri" w:cs="Calibri" w:eastAsia="Calibri" w:hAnsi="Calibri"/>
          <w:color w:val="1F2933"/>
        </w:rPr>
        <w:t xml:space="preserve">9. Logging and monitoring</w:t>
      </w:r>
    </w:p>
    <w:p>
      <w:pPr>
        <w:spacing w:after="120" w:line="300"/>
      </w:pPr>
      <w:r>
        <w:rPr>
          <w:rFonts w:ascii="Calibri" w:cs="Calibri" w:eastAsia="Calibri" w:hAnsi="Calibri"/>
          <w:color w:val="1F2933"/>
          <w:sz w:val="22"/>
          <w:szCs w:val="22"/>
        </w:rPr>
        <w:t xml:space="preserve">Each critical cloud service logs authentication, administrative action and configuration change. Logs are retained for [period].</w:t>
      </w:r>
    </w:p>
    <w:p>
      <w:pPr>
        <w:spacing w:after="120" w:line="300"/>
      </w:pPr>
      <w:r>
        <w:rPr>
          <w:rFonts w:ascii="Calibri" w:cs="Calibri" w:eastAsia="Calibri" w:hAnsi="Calibri"/>
          <w:color w:val="1F2933"/>
          <w:sz w:val="22"/>
          <w:szCs w:val="22"/>
        </w:rPr>
        <w:t xml:space="preserve">[role] reviews alerts [weekly] and records what was reviewed. Administrator activity is in scope of that review.</w:t>
      </w:r>
    </w:p>
    <w:p>
      <w:pPr>
        <w:pStyle w:val="Heading2"/>
        <w:spacing w:after="100" w:before="280"/>
      </w:pPr>
      <w:r>
        <w:rPr>
          <w:rFonts w:ascii="Calibri" w:cs="Calibri" w:eastAsia="Calibri" w:hAnsi="Calibri"/>
          <w:color w:val="1F2933"/>
        </w:rPr>
        <w:t xml:space="preserve">10. Backup, resilience and exit</w:t>
      </w:r>
    </w:p>
    <w:p>
      <w:pPr>
        <w:spacing w:after="120" w:line="300"/>
      </w:pPr>
      <w:r>
        <w:rPr>
          <w:rFonts w:ascii="Calibri" w:cs="Calibri" w:eastAsia="Calibri" w:hAnsi="Calibri"/>
          <w:color w:val="1F2933"/>
          <w:sz w:val="22"/>
          <w:szCs w:val="22"/>
        </w:rPr>
        <w:t xml:space="preserve">Where the shared responsibility split places backup with [Organization], backups are taken [frequency] and restoration is tested [annually]. A provider's durability commitment is not a backup.</w:t>
      </w:r>
    </w:p>
    <w:p>
      <w:pPr>
        <w:spacing w:after="120" w:line="300"/>
      </w:pPr>
      <w:r>
        <w:rPr>
          <w:rFonts w:ascii="Calibri" w:cs="Calibri" w:eastAsia="Calibri" w:hAnsi="Calibri"/>
          <w:color w:val="1F2933"/>
          <w:sz w:val="22"/>
          <w:szCs w:val="22"/>
        </w:rPr>
        <w:t xml:space="preserve">Before a cloud service holds production data, [role] records how [Organization] would leave it: how data is exported and in what format, how quickly, what the provider deletes after termination and when, and what would replace the service. For each critical service this exit note is reviewed [annually].</w:t>
      </w:r>
    </w:p>
    <w:p>
      <w:pPr>
        <w:pStyle w:val="Heading2"/>
        <w:spacing w:after="100" w:before="280"/>
      </w:pPr>
      <w:r>
        <w:rPr>
          <w:rFonts w:ascii="Calibri" w:cs="Calibri" w:eastAsia="Calibri" w:hAnsi="Calibri"/>
          <w:color w:val="1F2933"/>
        </w:rPr>
        <w:t xml:space="preserve">11. Contracts and incident notification</w:t>
      </w:r>
    </w:p>
    <w:p>
      <w:pPr>
        <w:spacing w:after="120" w:line="300"/>
      </w:pPr>
      <w:r>
        <w:rPr>
          <w:rFonts w:ascii="Calibri" w:cs="Calibri" w:eastAsia="Calibri" w:hAnsi="Calibri"/>
          <w:color w:val="1F2933"/>
          <w:sz w:val="22"/>
          <w:szCs w:val="22"/>
        </w:rPr>
        <w:t xml:space="preserve">Agreements with cloud providers include security requirements, a duty to notify [Organization] of a security incident affecting its data, and the timeframe for that notice.</w:t>
      </w:r>
    </w:p>
    <w:p>
      <w:pPr>
        <w:spacing w:after="120" w:line="300"/>
      </w:pPr>
      <w:r>
        <w:rPr>
          <w:rFonts w:ascii="Calibri" w:cs="Calibri" w:eastAsia="Calibri" w:hAnsi="Calibri"/>
          <w:color w:val="1F2933"/>
          <w:sz w:val="22"/>
          <w:szCs w:val="22"/>
        </w:rPr>
        <w:t xml:space="preserve">Notices are received by [role]. Critical services are not run on click-through consumer terms.</w:t>
      </w:r>
    </w:p>
    <w:p>
      <w:pPr>
        <w:pStyle w:val="Heading2"/>
        <w:spacing w:after="100" w:before="280"/>
      </w:pPr>
      <w:r>
        <w:rPr>
          <w:rFonts w:ascii="Calibri" w:cs="Calibri" w:eastAsia="Calibri" w:hAnsi="Calibri"/>
          <w:color w:val="1F2933"/>
        </w:rPr>
        <w:t xml:space="preserve">12. Exceptions, breaches and review</w:t>
      </w:r>
    </w:p>
    <w:p>
      <w:pPr>
        <w:spacing w:after="120" w:line="300"/>
      </w:pPr>
      <w:r>
        <w:rPr>
          <w:rFonts w:ascii="Calibri" w:cs="Calibri" w:eastAsia="Calibri" w:hAnsi="Calibri"/>
          <w:color w:val="1F2933"/>
          <w:sz w:val="22"/>
          <w:szCs w:val="22"/>
        </w:rPr>
        <w:t xml:space="preserve">Exceptions to this policy are granted only by [role], in writing, with a stated expiry date. An exception that has expired is a breach.</w:t>
      </w:r>
    </w:p>
    <w:p>
      <w:pPr>
        <w:spacing w:after="120" w:line="300"/>
      </w:pPr>
      <w:r>
        <w:rPr>
          <w:rFonts w:ascii="Calibri" w:cs="Calibri" w:eastAsia="Calibri" w:hAnsi="Calibri"/>
          <w:color w:val="1F2933"/>
          <w:sz w:val="22"/>
          <w:szCs w:val="22"/>
        </w:rPr>
        <w:t xml:space="preserve">Breaches of this policy are handled under [Organization]'s disciplinary process. This policy is reviewed [annually], and additionally whenever a new critical service is adopted, a provider changes materially, or an incident involves a cloud service.</w:t>
      </w:r>
    </w:p>
    <w:p>
      <w:pPr>
        <w:pBdr>
          <w:top w:val="single" w:color="C9D1D6" w:sz="6" w:space="8"/>
        </w:pBdr>
        <w:spacing w:after="120" w:before="360" w:line="300"/>
      </w:pPr>
      <w:r>
        <w:rPr>
          <w:rFonts w:ascii="Calibri" w:cs="Calibri" w:eastAsia="Calibri" w:hAnsi="Calibri"/>
          <w:color w:val="5B6770"/>
          <w:sz w:val="20"/>
          <w:szCs w:val="20"/>
        </w:rPr>
        <w:t xml:space="preserve">This template is a starting point, not legal or audit advice. Replace every bracketed placeholder, delete what does not apply, and have it approved before you rely on it.</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gzomd0ul_1nlt_86qj2vq">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zomd0ul_1nlt_86qj2vq"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Security Policy - Template</dc:title>
  <dc:creator>PolicyMint</dc:creator>
  <dc:description>An editable cloud security policy. Replace the bracketed placeholders with your own details.</dc:description>
  <cp:lastModifiedBy>Un-named</cp:lastModifiedBy>
  <cp:revision>1</cp:revision>
  <dcterms:created xsi:type="dcterms:W3CDTF">2026-09-29T04:13:06.776Z</dcterms:created>
  <dcterms:modified xsi:type="dcterms:W3CDTF">2026-09-29T04:13:06.776Z</dcterms:modified>
</cp:coreProperties>
</file>

<file path=docProps/custom.xml><?xml version="1.0" encoding="utf-8"?>
<Properties xmlns="http://schemas.openxmlformats.org/officeDocument/2006/custom-properties" xmlns:vt="http://schemas.openxmlformats.org/officeDocument/2006/docPropsVTypes"/>
</file>