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Guidance for AI Adoption to ISO 42001 Crosswalk - Template</w:t>
      </w:r>
    </w:p>
    <w:p>
      <w:pPr>
        <w:spacing w:after="120" w:line="300"/>
        <w:rPr>
          <w:i/>
          <w:iCs/>
          <w:color w:val="5B6770"/>
        </w:rPr>
      </w:pPr>
      <w:r>
        <w:rPr>
          <w:rFonts w:ascii="Calibri" w:cs="Calibri" w:eastAsia="Calibri" w:hAnsi="Calibri"/>
          <w:i/>
          <w:iCs/>
          <w:color w:val="5B6770"/>
          <w:sz w:val="22"/>
          <w:szCs w:val="22"/>
        </w:rPr>
        <w:t xml:space="preserve">Maps the National AI Centre's six essential practices (AI6) to ISO/IEC 42001 and to the documents that meet them. Replace the bracketed placeholders, then fill in each status and owner.</w:t>
      </w:r>
    </w:p>
    <w:p>
      <w:pPr>
        <w:spacing w:after="200" w:before="120" w:line="300"/>
      </w:pPr>
      <w:r>
        <w:rPr>
          <w:rFonts w:ascii="Calibri" w:cs="Calibri" w:eastAsia="Calibri" w:hAnsi="Calibri"/>
          <w:color w:val="1F2933"/>
          <w:sz w:val="22"/>
          <w:szCs w:val="22"/>
        </w:rPr>
        <w:t xml:space="preserve">[Organization] uses this register to show how its AI management system meets the Guidance for AI Adoption, published by the National AI Centre in October 2025. For each implementation practice it records the ISO/IEC 42001 clauses and controls that correspond to it, the document where [Organization] meets it, its current status and its owner.</w:t>
      </w:r>
    </w:p>
    <w:p>
      <w:pPr>
        <w:pStyle w:val="Heading2"/>
        <w:spacing w:after="100" w:before="280"/>
      </w:pPr>
      <w:r>
        <w:rPr>
          <w:rFonts w:ascii="Calibri" w:cs="Calibri" w:eastAsia="Calibri" w:hAnsi="Calibri"/>
          <w:color w:val="1F2933"/>
        </w:rPr>
        <w:t xml:space="preserve">1. Purpose and scope</w:t>
      </w:r>
    </w:p>
    <w:p>
      <w:pPr>
        <w:spacing w:after="120" w:line="300"/>
      </w:pPr>
      <w:r>
        <w:rPr>
          <w:rFonts w:ascii="Calibri" w:cs="Calibri" w:eastAsia="Calibri" w:hAnsi="Calibri"/>
          <w:color w:val="1F2933"/>
          <w:sz w:val="22"/>
          <w:szCs w:val="22"/>
        </w:rPr>
        <w:t xml:space="preserve">The Guidance for AI Adoption is voluntary. It sets out six essential practices for responsible AI governance, with implementation practices under each. ISO/IEC 42001 is the certifiable standard for an AI management system. This register maps one to the other, so [Organization] can show where its AI management system already meets the guidance and see where it does not yet.</w:t>
      </w:r>
    </w:p>
    <w:p>
      <w:pPr>
        <w:spacing w:after="120" w:line="300"/>
      </w:pPr>
      <w:r>
        <w:rPr>
          <w:rFonts w:ascii="Calibri" w:cs="Calibri" w:eastAsia="Calibri" w:hAnsi="Calibri"/>
          <w:color w:val="1F2933"/>
          <w:sz w:val="22"/>
          <w:szCs w:val="22"/>
        </w:rPr>
        <w:t xml:space="preserve">It covers [the AI systems in scope, for example a customer support chatbot and Microsoft 365 Copilot]. Parts of some practices are marked in the guidance as applying to developers; they apply to [Organization] only if it builds, trains or fine-tunes its own AI models.</w:t>
      </w:r>
    </w:p>
    <w:p>
      <w:pPr>
        <w:pStyle w:val="Heading2"/>
        <w:spacing w:after="100" w:before="280"/>
      </w:pPr>
      <w:r>
        <w:rPr>
          <w:rFonts w:ascii="Calibri" w:cs="Calibri" w:eastAsia="Calibri" w:hAnsi="Calibri"/>
          <w:color w:val="1F2933"/>
        </w:rPr>
        <w:t xml:space="preserve">2. How to read this register</w:t>
      </w:r>
    </w:p>
    <w:p>
      <w:pPr>
        <w:spacing w:after="120" w:line="300"/>
      </w:pPr>
      <w:r>
        <w:rPr>
          <w:rFonts w:ascii="Calibri" w:cs="Calibri" w:eastAsia="Calibri" w:hAnsi="Calibri"/>
          <w:color w:val="1F2933"/>
          <w:sz w:val="22"/>
          <w:szCs w:val="22"/>
        </w:rPr>
        <w:t xml:space="preserve">Each table covers one essential practice. The ISO/IEC 42001 column lists the clauses and Annex A controls that correspond to each implementation practice; "(partial)" marks the three practices ISO 42001 only partly covers. The status of each practice is one of:</w:t>
      </w:r>
    </w:p>
    <w:p>
      <w:pPr>
        <w:pStyle w:val="ListParagraph"/>
        <w:numPr>
          <w:ilvl w:val="0"/>
          <w:numId w:val="1"/>
        </w:numPr>
        <w:spacing w:after="60" w:line="280"/>
      </w:pPr>
      <w:r>
        <w:rPr>
          <w:rFonts w:ascii="Calibri" w:cs="Calibri" w:eastAsia="Calibri" w:hAnsi="Calibri"/>
          <w:color w:val="1F2933"/>
          <w:sz w:val="22"/>
          <w:szCs w:val="22"/>
        </w:rPr>
        <w:t xml:space="preserve">In place: documented and operating, with evidence</w:t>
      </w:r>
    </w:p>
    <w:p>
      <w:pPr>
        <w:pStyle w:val="ListParagraph"/>
        <w:numPr>
          <w:ilvl w:val="0"/>
          <w:numId w:val="1"/>
        </w:numPr>
        <w:spacing w:after="60" w:line="280"/>
      </w:pPr>
      <w:r>
        <w:rPr>
          <w:rFonts w:ascii="Calibri" w:cs="Calibri" w:eastAsia="Calibri" w:hAnsi="Calibri"/>
          <w:color w:val="1F2933"/>
          <w:sz w:val="22"/>
          <w:szCs w:val="22"/>
        </w:rPr>
        <w:t xml:space="preserve">Partly in place: documented or operating, but not both, or not for every AI system</w:t>
      </w:r>
    </w:p>
    <w:p>
      <w:pPr>
        <w:pStyle w:val="ListParagraph"/>
        <w:numPr>
          <w:ilvl w:val="0"/>
          <w:numId w:val="1"/>
        </w:numPr>
        <w:spacing w:after="60" w:line="280"/>
      </w:pPr>
      <w:r>
        <w:rPr>
          <w:rFonts w:ascii="Calibri" w:cs="Calibri" w:eastAsia="Calibri" w:hAnsi="Calibri"/>
          <w:color w:val="1F2933"/>
          <w:sz w:val="22"/>
          <w:szCs w:val="22"/>
        </w:rPr>
        <w:t xml:space="preserve">Planned: not yet in place, with an owner and a target date under Gaps and next steps</w:t>
      </w:r>
    </w:p>
    <w:p>
      <w:pPr>
        <w:pStyle w:val="ListParagraph"/>
        <w:numPr>
          <w:ilvl w:val="0"/>
          <w:numId w:val="1"/>
        </w:numPr>
        <w:spacing w:after="60" w:line="280"/>
      </w:pPr>
      <w:r>
        <w:rPr>
          <w:rFonts w:ascii="Calibri" w:cs="Calibri" w:eastAsia="Calibri" w:hAnsi="Calibri"/>
          <w:color w:val="1F2933"/>
          <w:sz w:val="22"/>
          <w:szCs w:val="22"/>
        </w:rPr>
        <w:t xml:space="preserve">Not applicable: does not apply to [Organization], with the reason</w:t>
      </w:r>
    </w:p>
    <w:p>
      <w:pPr>
        <w:pStyle w:val="Heading2"/>
        <w:spacing w:after="100" w:before="280"/>
      </w:pPr>
      <w:r>
        <w:rPr>
          <w:rFonts w:ascii="Calibri" w:cs="Calibri" w:eastAsia="Calibri" w:hAnsi="Calibri"/>
          <w:color w:val="1F2933"/>
        </w:rPr>
        <w:t xml:space="preserve">3. Practice 1: Decide who is accountable</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Practice</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expects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ISO/IEC 42001</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Where it is met</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Status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1.1 Accountable people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 named, competent person accountable for the AI management system and for each AI system, including third-party AI, testing and complaints.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5.1, 5.3, A.3.2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roles and responsibilities policy; AI management system policy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1.2 Supply chain accountabilities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Who is responsible for what across the AI supply chain (developers, vendors, integrators), including monitoring, human oversight and reporting faults.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A.10.2, A.10.3, A.10.4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Third-party and customer relationships policy; supplier contracts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1.3 AI literacy and training</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Training needs assessed and met, for staff generally and for the people accountable for or overseeing each AI system.</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7.2, 7.3, A.4.6</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competence and training record; AI resources policy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1.4 AI governance framework</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An AI policy, processes and goals in line with strategy and the laws that apply, run as a management system that finds and fixes its own gaps.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4.1, 4.4, 5.2, 6.3, 10.2, A.2.2, A.2.4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management system policy; AIMS scope statement; corrective action register</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4. Practice 2: Understand impacts and plan accordingly</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Practice</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expects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ISO/IEC 42001</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Where it is met</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Status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2.1 Identify and engage stakeholders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Who each AI system affects and how, including vulnerable groups, unwanted bias, personal information and decisions about people, assessed with input from those affected.</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4.2, 6.1.4, A.5.2, A.5.4, A.5.5, A.9.4</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system impact assessment procedure; AIMS scope statement</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2.2 Establish feedback and redress processes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Accessible ways for people to raise concerns, question or contest AI use and decisions, and have things put right.</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A.3.3, A.8.3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Transparency policy; AI roles and responsibilities policy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2.3 Monitor for systemic issues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Complaints and challenges reviewed across the organization to find and fix systemic problems.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9.1, 10.2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monitoring and measurement record; corrective action register</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5. Practice 3: Measure and manage risks</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Practice</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expects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ISO/IEC 42001</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Where it is met</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Status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3.1 Establish a fit-for-purpose risk management framework</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An AI-specific risk framework with a stated risk tolerance, impact and risk assessment processes, and risks from suppliers included.</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6.1.1, 6.1.2, 6.1.4, A.10.3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risk management policy; AI risk assessment and treatment methodology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3.2 Assess AI system risks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 triage of which AI systems need more attention, then a documented risk assessment for each system and use case, bought or built.</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6.1.2, 8.2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risk register; AI risk assessment and treatment methodology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3.3 Implement controls for AI system risks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 treatment plan for each risk, controls in proportion to it, and a check that the controls worked.</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6.1.3, 8.3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risk register; AI Statement of Applicability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3.4 Monitor and report incidents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incidents tracked and reported to regulators or the public where required, including notifiable data breaches, and the lessons used.</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A.8.4, 9.1, 10.2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Transparency policy; corrective action register; incident and data breach response plans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6. Practice 4: Share essential information</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Practice</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expects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ISO/IEC 42001</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Where it is met</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Status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4.1 Maintain an AI register</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An up-to-date register of every AI system, built, bought or embedded in other software, with its owner, purpose, risks and reviews.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A.4.2, A.6.2.7</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system inventory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4.2 AI system transparency and explainability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People told when and how AI is used, and what its capabilities, limits and risks are, in terms they can understand.</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A.8.2, A.8.5, A.6.2.7</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Transparency policy; AI system life cycle and development policy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4.3 Supply chain transparency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The technical and testing information needed from AI suppliers obtained, problems reported back to them, and both written into contracts.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A.10.3, A.10.4, A.8.2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Third-party and customer relationships policy; supplier contracts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4.4 AI-generated content transparency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Labelling or disclosure of AI-generated content, in proportion to the risk. ISO 42001 has no control written for this; transparency is its nearest home.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A.8.2, A.8.5 (partial)</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Transparency policy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7. Practice 5: Test and monitor</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Practice</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expects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ISO/IEC 42001</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Where it is met</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Status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5.1 Pre-deployment testing</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Acceptance criteria and tests for the intended use before an AI system goes live, supplier test results requested, and deployment signed off by its owner.</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A.6.2.4, A.6.2.5, A.10.3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system life cycle and development policy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5.2 Monitor system performance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Metrics and monitoring for each AI system after deployment, matched to its risks, with regular performance reviews.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A.6.2.6, 9.1</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system life cycle and development policy; AI monitoring and measurement record</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5.3 Conduct additional testing proportionate to risk</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Further safety evaluation, independent review or auditing for higher-risk systems. ISO 42001 does not require independent testing; the risk treatment decides when it is needed.</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A.6.2.4, 6.1.3 (partial)</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system life cycle and development policy; AI risk register</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5.4 Implement robust data and cybersecurity measures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Data governance, privacy and cybersecurity extended to AI: data rights, quality and provenance, the Australian Privacy Principles, and AI-specific security risks.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A.7.2, A.7.3, A.7.4, A.7.5, A.7.6, A.4.3, A.2.3</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Data management for AI policy; privacy policy; information security controls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8. Practice 6: Maintain human control</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1483"/>
        <w:gridCol w:w="1483"/>
        <w:gridCol w:w="1483"/>
        <w:gridCol w:w="1483"/>
        <w:gridCol w:w="1483"/>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Practice</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What it expects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ISO/IEC 42001</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Where it is met</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Status</w:t>
            </w:r>
          </w:p>
        </w:tc>
        <w:tc>
          <w:tcPr>
            <w:tcW w:type="dxa" w:w="1483"/>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6.1 Maintain human oversight and control</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Human oversight through the life of each AI system, the means to intervene, and training for the people who oversee it.</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A.9.2, A.9.3, A.9.4, A.6.2.6, 7.2</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management system policy; AI system life cycle and development policy; AI competence and training record</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6.2 Decommission when appropriate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Criteria and an owner for retiring an AI system, a plan that keeps critical services running, and its data extracted, returned or deleted. ISO 42001 has no control written for decommissioning; the life cycle policy is its home.</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A.6.1.3, A.6.2.6 (partial)</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AI system life cycle and development policy</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[status]</w:t>
            </w:r>
          </w:p>
        </w:tc>
        <w:tc>
          <w:tcPr>
            <w:tcW w:type="dxa" w:w="1483"/>
            <w:tcMar>
              <w:top w:type="dxa" w:w="80"/>
              <w:left w:type="dxa" w:w="100"/>
              <w:bottom w:type="dxa" w:w="80"/>
              <w:right w:type="dxa" w:w="100"/>
            </w:tcMar>
          </w:tcPr>
          <w:p>
            <w:r>
              <w:rPr>
                <w:rFonts w:ascii="Calibri" w:cs="Calibri" w:eastAsia="Calibri" w:hAnsi="Calibri"/>
                <w:b w:val="false"/>
                <w:bCs w:val="false"/>
                <w:color w:val="1F2933"/>
                <w:sz w:val="20"/>
                <w:szCs w:val="20"/>
              </w:rPr>
              <w:t xml:space="preserve">[owner]</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9. Gaps and next steps</w:t>
      </w:r>
    </w:p>
    <w:p>
      <w:pPr>
        <w:spacing w:after="120" w:line="300"/>
      </w:pPr>
      <w:r>
        <w:rPr>
          <w:rFonts w:ascii="Calibri" w:cs="Calibri" w:eastAsia="Calibri" w:hAnsi="Calibri"/>
          <w:color w:val="1F2933"/>
          <w:sz w:val="22"/>
          <w:szCs w:val="22"/>
        </w:rPr>
        <w:t xml:space="preserve">Every practice that is Partly in place or Planned has an action here, with an owner and a target date.</w:t>
      </w:r>
    </w:p>
    <w:tbl>
      <w:tblPr>
        <w:tblW w:type="dxa" w:w="9506"/>
        <w:tblBorders>
          <w:top w:val="single" w:color="C9D1D6" w:sz="4"/>
          <w:left w:val="single" w:color="C9D1D6" w:sz="4"/>
          <w:bottom w:val="single" w:color="C9D1D6" w:sz="4"/>
          <w:right w:val="single" w:color="C9D1D6" w:sz="4"/>
          <w:insideH w:val="single" w:color="C9D1D6" w:sz="4"/>
          <w:insideV w:val="single" w:color="C9D1D6" w:sz="4"/>
        </w:tblBorders>
      </w:tblPr>
      <w:tblGrid>
        <w:gridCol w:w="2091"/>
        <w:gridCol w:w="2471"/>
        <w:gridCol w:w="2471"/>
        <w:gridCol w:w="2471"/>
      </w:tblGrid>
      <w:tr>
        <w:trPr>
          <w:tblHeader/>
        </w:trPr>
        <w:tc>
          <w:tcPr>
            <w:tcW w:type="dxa" w:w="209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Practice</w:t>
            </w:r>
          </w:p>
        </w:tc>
        <w:tc>
          <w:tcPr>
            <w:tcW w:type="dxa" w:w="247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Action</w:t>
            </w:r>
          </w:p>
        </w:tc>
        <w:tc>
          <w:tcPr>
            <w:tcW w:type="dxa" w:w="247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Owner</w:t>
            </w:r>
          </w:p>
        </w:tc>
        <w:tc>
          <w:tcPr>
            <w:tcW w:type="dxa" w:w="2471"/>
            <w:shd w:fill="EEF2F4" w:color="auto" w:val="clear"/>
            <w:tcMar>
              <w:top w:type="dxa" w:w="80"/>
              <w:left w:type="dxa" w:w="100"/>
              <w:bottom w:type="dxa" w:w="80"/>
              <w:right w:type="dxa" w:w="100"/>
            </w:tcMar>
          </w:tcPr>
          <w:p>
            <w:r>
              <w:rPr>
                <w:rFonts w:ascii="Calibri" w:cs="Calibri" w:eastAsia="Calibri" w:hAnsi="Calibri"/>
                <w:b/>
                <w:bCs/>
                <w:color w:val="1F2933"/>
                <w:sz w:val="20"/>
                <w:szCs w:val="20"/>
              </w:rPr>
              <w:t xml:space="preserve">Target date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[for example 4.4]</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[for example Label AI-generated images in marketing material]</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[date]</w:t>
            </w:r>
          </w:p>
        </w:tc>
      </w:tr>
      <w:tr>
        <w:tc>
          <w:tcPr>
            <w:tcW w:type="dxa" w:w="2091"/>
            <w:tcMar>
              <w:top w:type="dxa" w:w="80"/>
              <w:left w:type="dxa" w:w="100"/>
              <w:bottom w:type="dxa" w:w="80"/>
              <w:right w:type="dxa" w:w="100"/>
            </w:tcMar>
          </w:tcPr>
          <w:p>
            <w:r>
              <w:rPr>
                <w:rFonts w:ascii="Calibri" w:cs="Calibri" w:eastAsia="Calibri" w:hAnsi="Calibri"/>
                <w:b w:val="false"/>
                <w:bCs w:val="false"/>
                <w:color w:val="1F2933"/>
                <w:sz w:val="20"/>
                <w:szCs w:val="20"/>
              </w:rPr>
              <w:t xml:space="preserve">[practice]</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[action]</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[role]</w:t>
            </w:r>
          </w:p>
        </w:tc>
        <w:tc>
          <w:tcPr>
            <w:tcW w:type="dxa" w:w="2471"/>
            <w:tcMar>
              <w:top w:type="dxa" w:w="80"/>
              <w:left w:type="dxa" w:w="100"/>
              <w:bottom w:type="dxa" w:w="80"/>
              <w:right w:type="dxa" w:w="100"/>
            </w:tcMar>
          </w:tcPr>
          <w:p>
            <w:r>
              <w:rPr>
                <w:rFonts w:ascii="Calibri" w:cs="Calibri" w:eastAsia="Calibri" w:hAnsi="Calibri"/>
                <w:b w:val="false"/>
                <w:bCs w:val="false"/>
                <w:color w:val="1F2933"/>
                <w:sz w:val="20"/>
                <w:szCs w:val="20"/>
              </w:rPr>
              <w:t xml:space="preserve">[date]</w:t>
            </w:r>
          </w:p>
        </w:tc>
      </w:tr>
    </w:tbl>
    <w:p>
      <w:pPr>
        <w:spacing w:after="120"/>
      </w:pPr>
      <w:r>
        <w:rPr>
          <w:rFonts w:ascii="Calibri" w:cs="Calibri" w:eastAsia="Calibri" w:hAnsi="Calibri"/>
          <w:color w:val="1F2933"/>
          <w:sz w:val="22"/>
          <w:szCs w:val="22"/>
        </w:rPr>
        <w:t xml:space="preserve"/>
      </w:r>
    </w:p>
    <w:p>
      <w:pPr>
        <w:pStyle w:val="Heading2"/>
        <w:spacing w:after="100" w:before="280"/>
      </w:pPr>
      <w:r>
        <w:rPr>
          <w:rFonts w:ascii="Calibri" w:cs="Calibri" w:eastAsia="Calibri" w:hAnsi="Calibri"/>
          <w:color w:val="1F2933"/>
        </w:rPr>
        <w:t xml:space="preserve">10. Review</w:t>
      </w:r>
    </w:p>
    <w:p>
      <w:pPr>
        <w:spacing w:after="120" w:line="300"/>
      </w:pPr>
      <w:r>
        <w:rPr>
          <w:rFonts w:ascii="Calibri" w:cs="Calibri" w:eastAsia="Calibri" w:hAnsi="Calibri"/>
          <w:color w:val="1F2933"/>
          <w:sz w:val="22"/>
          <w:szCs w:val="22"/>
        </w:rPr>
        <w:t xml:space="preserve">[role] reviews this register [annually], and also when the National AI Centre updates the guidance, when [Organization] adopts a new AI system, and when it starts building or training its own models.</w:t>
      </w:r>
    </w:p>
    <w:p>
      <w:pPr>
        <w:pBdr>
          <w:top w:val="single" w:color="C9D1D6" w:sz="6" w:space="8"/>
        </w:pBdr>
        <w:spacing w:after="120" w:before="360" w:line="300"/>
      </w:pPr>
      <w:r>
        <w:rPr>
          <w:rFonts w:ascii="Calibri" w:cs="Calibri" w:eastAsia="Calibri" w:hAnsi="Calibri"/>
          <w:color w:val="5B6770"/>
          <w:sz w:val="20"/>
          <w:szCs w:val="20"/>
        </w:rPr>
        <w:t xml:space="preserve">This crosswalk is PolicyMint's own reading of the Guidance for AI Adoption against ISO/IEC 42001:2023. It is a starting point, not legal or audit advice: check it against your own systems before you rely on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eb7fscfkyclvpdmgoiv4i">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7fscfkyclvpdmgoiv4i"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for AI Adoption to ISO 42001 Crosswalk - Template</dc:title>
  <dc:creator>PolicyMint</dc:creator>
  <dc:description>Maps the National AI Centre's six essential practices (AI6) to ISO/IEC 42001 and to the documents that meet them. Replace the bracketed placeholders, then fill in each status and owner.</dc:description>
  <cp:lastModifiedBy>Un-named</cp:lastModifiedBy>
  <cp:revision>1</cp:revision>
  <dcterms:created xsi:type="dcterms:W3CDTF">2026-10-13T21:46:39.826Z</dcterms:created>
  <dcterms:modified xsi:type="dcterms:W3CDTF">2026-10-13T21:46:39.826Z</dcterms:modified>
</cp:coreProperties>
</file>

<file path=docProps/custom.xml><?xml version="1.0" encoding="utf-8"?>
<Properties xmlns="http://schemas.openxmlformats.org/officeDocument/2006/custom-properties" xmlns:vt="http://schemas.openxmlformats.org/officeDocument/2006/docPropsVTypes"/>
</file>