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Calibri" w:cs="Calibri" w:eastAsia="Calibri" w:hAnsi="Calibri"/>
          <w:color w:val="1F2933"/>
        </w:rPr>
        <w:t xml:space="preserve">Access Control Policy - Template</w:t>
      </w:r>
    </w:p>
    <w:p>
      <w:pPr>
        <w:spacing w:after="120" w:line="300"/>
        <w:rPr>
          <w:i/>
          <w:iCs/>
          <w:color w:val="5B6770"/>
        </w:rPr>
      </w:pPr>
      <w:r>
        <w:rPr>
          <w:rFonts w:ascii="Calibri" w:cs="Calibri" w:eastAsia="Calibri" w:hAnsi="Calibri"/>
          <w:i/>
          <w:iCs/>
          <w:color w:val="5B6770"/>
          <w:sz w:val="22"/>
          <w:szCs w:val="22"/>
        </w:rPr>
        <w:t xml:space="preserve">An editable access control policy. Replace the bracketed placeholders with your own details.</w:t>
      </w:r>
    </w:p>
    <w:p>
      <w:pPr>
        <w:spacing w:after="200" w:before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[Organization] grants access on a least-privilege, need-to-know basis. This policy sets out how access is requested, approved, granted, changed, reviewed and removed, and who is accountable at each step.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1. Purpose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So that every person and system holds exactly the access their work requires, for only as long as they require it, and so [Organization] can show who had access to what.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2. Scope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All employees, contractors and third parties, and every system holding [Organization] information: the identity provider, cloud platforms, business applications, source code and physical entry to [locations].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3. Access control principles</w:t>
      </w:r>
    </w:p>
    <w:p>
      <w:pPr>
        <w:pStyle w:val="ListParagraph"/>
        <w:numPr>
          <w:ilvl w:val="0"/>
          <w:numId w:val="1"/>
        </w:numPr>
        <w:spacing w:after="60" w:line="28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Least privilege: the minimum access needed to do the job, not the maximum that is convenient.</w:t>
      </w:r>
    </w:p>
    <w:p>
      <w:pPr>
        <w:pStyle w:val="ListParagraph"/>
        <w:numPr>
          <w:ilvl w:val="0"/>
          <w:numId w:val="1"/>
        </w:numPr>
        <w:spacing w:after="60" w:line="28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Need to know: access to a data set needs a business reason, not a job title.</w:t>
      </w:r>
    </w:p>
    <w:p>
      <w:pPr>
        <w:pStyle w:val="ListParagraph"/>
        <w:numPr>
          <w:ilvl w:val="0"/>
          <w:numId w:val="1"/>
        </w:numPr>
        <w:spacing w:after="60" w:line="28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Separation of duties: nobody approves their own request.</w:t>
      </w:r>
    </w:p>
    <w:p>
      <w:pPr>
        <w:pStyle w:val="ListParagraph"/>
        <w:numPr>
          <w:ilvl w:val="0"/>
          <w:numId w:val="1"/>
        </w:numPr>
        <w:spacing w:after="60" w:line="28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Accounts are individual; shared logins are not permitted.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4. Identity and authentication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Every user has one identity in [identity provider], and applications connect to it through single sign-on wherever possible. Multi-factor authentication is required for everyone, administrators included, and local accounts are disabled on any system behind single sign-on.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5. Granting access (joiners)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The hiring manager requests access in [ticket system] before the start date and the system owner authorizes it. New starters get the standard role profile for their position; anything beyond it needs a written justification on the ticket.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6. Changing and removing access (movers and leavers)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When someone changes role, their manager raises one request stating the access to add and the access to remove; entitlements from the previous role are revoked within five business days. When someone leaves, [Role] disables the account and revokes active sessions and API tokens on the final working day.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7. Privileged access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Administrator and production access goes to named individuals only, held separately from their everyday account and authorized by [Role]. Privileged sessions are logged for [period]. Every service account has a named human owner and rotated credentials.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8. Emergency (break-glass) access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[Organization] keeps [number] break-glass accounts for when normal access paths fail. Credentials sit in [vault], any use raises an automatic alert to [Role] and is reviewed within one business day, and credentials are rotated immediately afterwards.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9. User access reviews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System owners review who holds access: quarterly for privileged and production access, at least annually for the rest. The reviewer must not be the account holder. Every line carries a recorded decision - retain, reduce or revoke - and revocations are actioned within five business days. Completed reviews are kept as evidence.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color w:val="1F2933"/>
        </w:rPr>
        <w:t xml:space="preserve">10. Third parties, exceptions and review</w:t>
      </w:r>
    </w:p>
    <w:p>
      <w:pPr>
        <w:spacing w:after="120" w:line="300"/>
      </w:pPr>
      <w:r>
        <w:rPr>
          <w:rFonts w:ascii="Calibri" w:cs="Calibri" w:eastAsia="Calibri" w:hAnsi="Calibri"/>
          <w:color w:val="1F2933"/>
          <w:sz w:val="22"/>
          <w:szCs w:val="22"/>
        </w:rPr>
        <w:t xml:space="preserve">Third-party access is time-limited, authorized by [Role] and reviewed on the same cycle as internal access. Exceptions must be requested from [Role], risk-assessed, time-limited and recorded. Owned by [Role], reviewed annually. Approved by [name], [title], on [date]. Version [x.x].</w:t>
      </w:r>
    </w:p>
    <w:p>
      <w:pPr>
        <w:pBdr>
          <w:top w:val="single" w:color="C9D1D6" w:sz="6" w:space="8"/>
        </w:pBdr>
        <w:spacing w:after="120" w:before="360" w:line="300"/>
      </w:pPr>
      <w:r>
        <w:rPr>
          <w:rFonts w:ascii="Calibri" w:cs="Calibri" w:eastAsia="Calibri" w:hAnsi="Calibri"/>
          <w:color w:val="5B6770"/>
          <w:sz w:val="20"/>
          <w:szCs w:val="20"/>
        </w:rPr>
        <w:t xml:space="preserve">A solid start, but the policy is not the control. An auditor will ask for the joiner, mover and leaver tickets and a completed access review that proves it runs. PolicyMint writes it alongside the rest of your ISO 27001 set, checked first.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770"/>
        <w:sz w:val="16"/>
        <w:szCs w:val="16"/>
      </w:rPr>
      <w:t xml:space="preserve">Free template from PolicyMint. Have it written for your organization at </w:t>
    </w:r>
    <w:hyperlink w:history="1" r:id="rIdexe0sre9g9bazkhfohhy2">
      <w:r>
        <w:rPr>
          <w:rFonts w:ascii="Calibri" w:cs="Calibri" w:eastAsia="Calibri" w:hAnsi="Calibri"/>
          <w:color w:val="5B6770"/>
          <w:sz w:val="16"/>
          <w:szCs w:val="16"/>
          <w:u w:val="single"/>
        </w:rPr>
        <w:t xml:space="preserve">policymint.ai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e0sre9g9bazkhfohhy2" Type="http://schemas.openxmlformats.org/officeDocument/2006/relationships/hyperlink" Target="https://policymint.ai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Control Policy - Template</dc:title>
  <dc:creator>PolicyMint</dc:creator>
  <dc:description>An editable access control policy. Replace the bracketed placeholders with your own details.</dc:description>
  <cp:lastModifiedBy>Un-named</cp:lastModifiedBy>
  <cp:revision>1</cp:revision>
  <dcterms:created xsi:type="dcterms:W3CDTF">2026-09-29T04:13:06.752Z</dcterms:created>
  <dcterms:modified xsi:type="dcterms:W3CDTF">2026-09-29T04:13:06.752Z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